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TOMADA DE PREÇOS Nº 001/2020</w:t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CONTRATO ADMINISTRATIVO </w:t>
      </w:r>
      <w:r>
        <w:rPr>
          <w:rFonts w:cs="Arial" w:ascii="Arial" w:hAnsi="Arial"/>
          <w:b/>
          <w:bCs/>
          <w:sz w:val="22"/>
          <w:szCs w:val="22"/>
        </w:rPr>
        <w:t>077/2020</w:t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REGIME DE EXECUÇÃO: EMPREITADA POR PREÇO INTEGRAL</w:t>
      </w:r>
    </w:p>
    <w:p>
      <w:pPr>
        <w:pStyle w:val="Normal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2410" w:leader="none"/>
        </w:tabs>
        <w:ind w:end="-1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O MUNICÍPIO DE PINHEIRO PRETO,</w:t>
      </w:r>
      <w:r>
        <w:rPr>
          <w:rFonts w:cs="Arial" w:ascii="Arial" w:hAnsi="Arial"/>
          <w:sz w:val="22"/>
          <w:szCs w:val="22"/>
        </w:rPr>
        <w:t xml:space="preserve"> pessoa jurídica de direito público interno, com sede administrativa na Av. Mal Costa e Silva, 111, centro, inscrito no CNPJ sob nº 82.827148/0001-69, neste ato representado pelo Prefeito Municipal </w:t>
      </w:r>
      <w:r>
        <w:rPr>
          <w:rFonts w:cs="Arial" w:ascii="Arial" w:hAnsi="Arial"/>
          <w:sz w:val="22"/>
          <w:szCs w:val="22"/>
        </w:rPr>
        <w:t>PEDRO RABUSKE</w:t>
      </w:r>
      <w:r>
        <w:rPr>
          <w:rFonts w:cs="Arial" w:ascii="Arial" w:hAnsi="Arial"/>
          <w:sz w:val="22"/>
          <w:szCs w:val="22"/>
        </w:rPr>
        <w:t xml:space="preserve">,  doravante denominado </w:t>
      </w:r>
      <w:r>
        <w:rPr>
          <w:rFonts w:cs="Arial" w:ascii="Arial" w:hAnsi="Arial"/>
          <w:b/>
          <w:bCs/>
          <w:sz w:val="22"/>
          <w:szCs w:val="22"/>
        </w:rPr>
        <w:t>CONTRATANTE</w:t>
      </w:r>
      <w:r>
        <w:rPr>
          <w:rFonts w:cs="Arial" w:ascii="Arial" w:hAnsi="Arial"/>
          <w:sz w:val="22"/>
          <w:szCs w:val="22"/>
        </w:rPr>
        <w:t xml:space="preserve"> e, de outro lado a empresa </w:t>
      </w:r>
      <w:r>
        <w:rPr>
          <w:rFonts w:cs="Arial" w:ascii="Arial" w:hAnsi="Arial"/>
          <w:sz w:val="22"/>
          <w:szCs w:val="22"/>
        </w:rPr>
        <w:t>CONSTRUTORA CIVILE LTDA</w:t>
      </w:r>
      <w:r>
        <w:rPr>
          <w:rFonts w:cs="Arial" w:ascii="Arial" w:hAnsi="Arial"/>
          <w:sz w:val="22"/>
          <w:szCs w:val="22"/>
        </w:rPr>
        <w:t xml:space="preserve">, pessoa jurídica de direito privado, situada na </w:t>
      </w:r>
      <w:r>
        <w:rPr>
          <w:rFonts w:cs="Arial" w:ascii="Arial" w:hAnsi="Arial"/>
          <w:sz w:val="22"/>
          <w:szCs w:val="22"/>
        </w:rPr>
        <w:t>Rodovia SC 135, Km 131</w:t>
      </w:r>
      <w:r>
        <w:rPr>
          <w:rFonts w:cs="Arial" w:ascii="Arial" w:hAnsi="Arial"/>
          <w:sz w:val="22"/>
          <w:szCs w:val="22"/>
        </w:rPr>
        <w:t xml:space="preserve">, na cidade de </w:t>
      </w:r>
      <w:r>
        <w:rPr>
          <w:rFonts w:cs="Arial" w:ascii="Arial" w:hAnsi="Arial"/>
          <w:sz w:val="22"/>
          <w:szCs w:val="22"/>
        </w:rPr>
        <w:t>Pinheiro Preto/SC</w:t>
      </w:r>
      <w:r>
        <w:rPr>
          <w:rFonts w:cs="Arial" w:ascii="Arial" w:hAnsi="Arial"/>
          <w:sz w:val="22"/>
          <w:szCs w:val="22"/>
        </w:rPr>
        <w:t xml:space="preserve">, inscrita no C.N.P.J. sob o n.º  </w:t>
      </w:r>
      <w:r>
        <w:rPr>
          <w:rFonts w:cs="Arial" w:ascii="Arial" w:hAnsi="Arial"/>
          <w:sz w:val="22"/>
          <w:szCs w:val="22"/>
        </w:rPr>
        <w:t>23.492.368/0001-10</w:t>
      </w:r>
      <w:r>
        <w:rPr>
          <w:rFonts w:cs="Arial" w:ascii="Arial" w:hAnsi="Arial"/>
          <w:sz w:val="22"/>
          <w:szCs w:val="22"/>
        </w:rPr>
        <w:t xml:space="preserve">,  neste ato representada pelo </w:t>
      </w:r>
      <w:r>
        <w:rPr>
          <w:rFonts w:cs="Arial" w:ascii="Arial" w:hAnsi="Arial"/>
          <w:sz w:val="22"/>
          <w:szCs w:val="22"/>
        </w:rPr>
        <w:t>Senhor André Vailatti</w:t>
      </w:r>
      <w:r>
        <w:rPr>
          <w:rFonts w:cs="Arial" w:ascii="Arial" w:hAnsi="Arial"/>
          <w:sz w:val="22"/>
          <w:szCs w:val="22"/>
        </w:rPr>
        <w:t xml:space="preserve">, doravante denominada  </w:t>
      </w:r>
      <w:r>
        <w:rPr>
          <w:rFonts w:cs="Arial" w:ascii="Arial" w:hAnsi="Arial"/>
          <w:b/>
          <w:bCs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, ajustam e contratam a execução de obra de engenharia, objeto abaixo indicado, </w:t>
      </w:r>
      <w:r>
        <w:rPr>
          <w:rFonts w:cs="Arial" w:ascii="Arial" w:hAnsi="Arial"/>
          <w:b/>
          <w:sz w:val="22"/>
          <w:szCs w:val="22"/>
        </w:rPr>
        <w:t>Regime de Execução de Empreitada por Preço Global,</w:t>
      </w:r>
      <w:r>
        <w:rPr>
          <w:rFonts w:cs="Arial" w:ascii="Arial" w:hAnsi="Arial"/>
          <w:sz w:val="22"/>
          <w:szCs w:val="22"/>
        </w:rPr>
        <w:t xml:space="preserve"> que se regerá pelo disposto neste contrato, no Processo Administrativo Licitatório nº 008/2020, Tomada de preços n° 001/2020; na Lei nº 8.666/93 e alterações posteriores; nos princípios que informa o Direito Administrativo; e supletivamente, nas normas e princípios de Direito privado pertinentes.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FUNDAMENTO LEGAL</w:t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Esse contrato rege-se pelas normas previstas na Lei n. 8.666/93, bem como pelas normas estabelecidas no Edital Convocatório da Licitação nº 001/2020, e princípios gerais que informam o Direito Administrativo, bem como pelo Convenio nº 2019-TR1074 firmado entre a Secretaria de Estado da Educação e o Município de Pinheiro Preto.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PRIMEIRA – DO OBJETO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>1.1 O objeto do presente contrato é a execução de obra de engenharia destinada à construção/ampliação do Refeitório do Centro Educacional II, com recursos provenientes do Termo de Convênio nº 2019-TR1074 firmado entre a Secretaria de Estado da Educação e o Município de Pinheiro Preto, de acordo com Projeto, Memorial Descritivo e Quantitativos em anexo.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Parágrafo único. </w:t>
      </w:r>
      <w:r>
        <w:rPr>
          <w:rFonts w:cs="Arial" w:ascii="Arial" w:hAnsi="Arial"/>
          <w:sz w:val="22"/>
          <w:szCs w:val="22"/>
        </w:rPr>
        <w:t>O regime de execução é de empreitada por preço GLOBAL.</w:t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SEGUNDA – DO VALOR TOTAL E DO PAGAMENTO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sz w:val="22"/>
          <w:szCs w:val="22"/>
        </w:rPr>
        <w:t xml:space="preserve">2.1 – O valor total do presente contrato é de R$ </w:t>
      </w:r>
      <w:r>
        <w:rPr>
          <w:rFonts w:cs="Arial" w:ascii="Arial" w:hAnsi="Arial"/>
          <w:sz w:val="22"/>
          <w:szCs w:val="22"/>
        </w:rPr>
        <w:t>218.686,21 (duzentgos e dezoito mil seiscentos e oitenta e seis reais e vinte e um centavos) sendo: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a) O valor de R$ 76.540,00 (setenta e seis mil quinhentos e quarenta reais) referente à mão de obra; </w:t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b) O valor de R$ 142.146,21 (cento e quarenta e dois mil cento e quarenta e seis reais e vinte e um centavos) referente ao material. 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  <w:sz w:val="22"/>
          <w:szCs w:val="22"/>
        </w:rPr>
        <w:t xml:space="preserve">2.2 – O pagamento da Obra dar-se-á através de medição da área executada, de acordo com planilha comparativa e de acordo com o cronograma físico-financeiro, devendo a mesma ser comprovada através de laudo apresentado por engenheiro designado pelo Município. </w:t>
      </w:r>
    </w:p>
    <w:p>
      <w:pPr>
        <w:pStyle w:val="Normal"/>
        <w:widowControl w:val="false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398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2.2.1 – A liberação dos pagamentos somente se dará após a fiscalização e liberação por parte do agente financiador;</w:t>
      </w:r>
    </w:p>
    <w:p>
      <w:pPr>
        <w:pStyle w:val="Normal"/>
        <w:widowControl w:val="false"/>
        <w:tabs>
          <w:tab w:val="clear" w:pos="709"/>
          <w:tab w:val="left" w:pos="398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398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2.2.1.1 Para operações relativas a obras e serviços de engenharia, o desbloqueio de recursos para pagamento ao fornecedor está condicionado à apresentação de boletim de medição.</w:t>
      </w:r>
    </w:p>
    <w:p>
      <w:pPr>
        <w:pStyle w:val="Normal"/>
        <w:widowControl w:val="false"/>
        <w:tabs>
          <w:tab w:val="clear" w:pos="709"/>
          <w:tab w:val="left" w:pos="3982" w:leader="none"/>
        </w:tabs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widowControl w:val="false"/>
        <w:tabs>
          <w:tab w:val="clear" w:pos="709"/>
          <w:tab w:val="left" w:pos="398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2.2.2 – A medição poderá ocorrer quinzenalmente ou mensalmente, dependendo do andamento da obra. </w:t>
      </w:r>
    </w:p>
    <w:p>
      <w:pPr>
        <w:pStyle w:val="Normal"/>
        <w:widowControl w:val="false"/>
        <w:tabs>
          <w:tab w:val="clear" w:pos="709"/>
          <w:tab w:val="left" w:pos="3982" w:leader="none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398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2.2.3 – Todo pagamento será efetuado mediante emissão e apresentação de nota fiscal, boletim diário da obra, boletim de medição, negativas de débitos junto ao INSS e FGTS atualizadas, tendo o Município um prazo de até 15 (quinze) dias após a liquidação da nota fiscal para efetivar o pagamento. </w:t>
      </w:r>
    </w:p>
    <w:p>
      <w:pPr>
        <w:pStyle w:val="Normal"/>
        <w:widowControl w:val="false"/>
        <w:suppressAutoHyphens w:val="true"/>
        <w:ind w:firstLine="1418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TERCEIRA – DA VIGÊNCIA E DO PRAZO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3.1 – O presente contrato terá vigência com início a partir do dia </w:t>
      </w:r>
      <w:r>
        <w:rPr>
          <w:rFonts w:cs="Arial" w:ascii="Arial" w:hAnsi="Arial"/>
          <w:sz w:val="22"/>
          <w:szCs w:val="22"/>
        </w:rPr>
        <w:t>06</w:t>
      </w:r>
      <w:r>
        <w:rPr>
          <w:rFonts w:cs="Arial" w:ascii="Arial" w:hAnsi="Arial"/>
          <w:sz w:val="22"/>
          <w:szCs w:val="22"/>
        </w:rPr>
        <w:t xml:space="preserve"> de </w:t>
      </w:r>
      <w:r>
        <w:rPr>
          <w:rFonts w:cs="Arial" w:ascii="Arial" w:hAnsi="Arial"/>
          <w:sz w:val="22"/>
          <w:szCs w:val="22"/>
        </w:rPr>
        <w:t>março</w:t>
      </w:r>
      <w:r>
        <w:rPr>
          <w:rFonts w:cs="Arial" w:ascii="Arial" w:hAnsi="Arial"/>
          <w:sz w:val="22"/>
          <w:szCs w:val="22"/>
        </w:rPr>
        <w:t xml:space="preserve"> de 2020 e término no dia </w:t>
      </w:r>
      <w:r>
        <w:rPr>
          <w:rFonts w:cs="Arial" w:ascii="Arial" w:hAnsi="Arial"/>
          <w:sz w:val="22"/>
          <w:szCs w:val="22"/>
        </w:rPr>
        <w:t>31</w:t>
      </w:r>
      <w:r>
        <w:rPr>
          <w:rFonts w:cs="Arial" w:ascii="Arial" w:hAnsi="Arial"/>
          <w:sz w:val="22"/>
          <w:szCs w:val="22"/>
        </w:rPr>
        <w:t xml:space="preserve"> de </w:t>
      </w:r>
      <w:r>
        <w:rPr>
          <w:rFonts w:cs="Arial" w:ascii="Arial" w:hAnsi="Arial"/>
          <w:sz w:val="22"/>
          <w:szCs w:val="22"/>
        </w:rPr>
        <w:t>dezembro</w:t>
      </w:r>
      <w:r>
        <w:rPr>
          <w:rFonts w:cs="Arial" w:ascii="Arial" w:hAnsi="Arial"/>
          <w:sz w:val="22"/>
          <w:szCs w:val="22"/>
        </w:rPr>
        <w:t xml:space="preserve"> de 2020.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3.1.1 A obra terá garantia de 05 (cinco) anos. 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>3.2 - O prazo de execução será de 04 meses, iniciando com a emissão e entrega da Ordem de Serviço</w:t>
      </w:r>
      <w:r>
        <w:rPr>
          <w:rFonts w:cs="Arial" w:ascii="Arial" w:hAnsi="Arial"/>
          <w:bCs/>
          <w:sz w:val="22"/>
          <w:szCs w:val="22"/>
        </w:rPr>
        <w:t>, sendo que a o regime deverá ser por preço global, não podendo ter aditivo de valor e prazo.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3.3 A empresa vencedora não poderá paralisar a obra somente por não ter recebido os recursos, pois a mesma estará ciente de que os recursos são estaduais, e consequentemente pode haver atrasos no desembolso das parcelas, nos termos do artigo 78, XV da lei 8.666/93.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 xml:space="preserve">CLÁUSULA QUARTA – DA DOTAÇÃO ORÇAMENTÁRIA 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 xml:space="preserve">4.1 – As despesas para a execução do objeto do presente contrato correrão a conta de dotação específica do orçamento do exercício do ano de 2020 e terão a seguinte classificação orçamentária: 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Unidade Gestora: 2 - Município de Pinheiro Preto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Órgão Orçamentário: 2000 - PODER EXECUTIVO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Unidade Orçamentária: 2003 - SECRET. DE EDUCACAO, CULTURA E ESPORTES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Função: 12 - Educação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Subfunção: 361 - Ensino Fundamental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Programa: 12 - Desenvolvimento Educacional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Ação: 1.8 - AMPLIAÇÃO DA REDE FÍSICA FUNDAMENTAL</w:t>
      </w:r>
    </w:p>
    <w:p>
      <w:pPr>
        <w:pStyle w:val="Normal"/>
        <w:autoSpaceDE w:val="true"/>
        <w:spacing w:lineRule="auto" w:line="25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Despesa 231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Fonte de recurso: 389 - Alienação de Bens destinados a Outros Programas</w:t>
      </w:r>
    </w:p>
    <w:p>
      <w:pPr>
        <w:pStyle w:val="Normal"/>
        <w:autoSpaceDE w:val="true"/>
        <w:spacing w:lineRule="auto" w:line="25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Unidade Gestora: 2 - Município de Pinheiro Preto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Órgão Orçamentário: 2000 - PODER EXECUTIVO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Unidade Orçamentária: 2003 - SECRET. DE EDUCACAO, CULTURA E ESPORTES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Função: 12 - Educação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Subfunção: 361 - Ensino Fundamental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Programa: 12 - Desenvolvimento Educacional</w:t>
      </w:r>
    </w:p>
    <w:p>
      <w:pPr>
        <w:pStyle w:val="Normal"/>
        <w:autoSpaceDE w:val="true"/>
        <w:spacing w:lineRule="auto" w:line="256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Ação: 1.8 - AMPLIAÇÃO DA REDE FÍSICA FUNDAMENTAL</w:t>
      </w:r>
    </w:p>
    <w:p>
      <w:pPr>
        <w:pStyle w:val="Normal"/>
        <w:autoSpaceDE w:val="true"/>
        <w:spacing w:lineRule="auto" w:line="25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Despesa 230</w:t>
      </w:r>
    </w:p>
    <w:p>
      <w:pPr>
        <w:pStyle w:val="Normal"/>
        <w:widowControl w:val="false"/>
        <w:tabs>
          <w:tab w:val="clear" w:pos="709"/>
          <w:tab w:val="left" w:pos="3402" w:leader="none"/>
        </w:tabs>
        <w:suppressAutoHyphens w:val="true"/>
        <w:jc w:val="both"/>
        <w:rPr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Fonte de recurso: 362 - Transferencia de Convênios - Estado/Educação - ex. anterior</w:t>
      </w:r>
    </w:p>
    <w:p>
      <w:pPr>
        <w:pStyle w:val="Normal"/>
        <w:widowControl w:val="false"/>
        <w:tabs>
          <w:tab w:val="clear" w:pos="709"/>
          <w:tab w:val="left" w:pos="3402" w:leader="none"/>
        </w:tabs>
        <w:suppressAutoHyphens w:val="true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QUINTA – DAS PENALIDADES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>5.1 – A inexecução contratual, parcial ou total, submeterá o responsável às penalidades previstas no artigo 87 da Lei 8666/93; na suspensão temporária da participação em Licitações e impedimento de contratar com o Município pelo prazo de 2 (dois) anos; e multa de 20% (vinte por cento) calculada sobre o valor contratado;</w:t>
      </w:r>
    </w:p>
    <w:p>
      <w:pPr>
        <w:pStyle w:val="Normal"/>
        <w:widowControl w:val="false"/>
        <w:suppressAutoHyphens w:val="true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5.2 – Expirado o prazo de execução conforme cronograma e não conclusa a obra, será cobrado multa diária de R$ 1.000,00 (um mil reais);</w:t>
      </w:r>
    </w:p>
    <w:p>
      <w:pPr>
        <w:pStyle w:val="Normal"/>
        <w:widowControl w:val="false"/>
        <w:suppressAutoHyphens w:val="true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5.3 – As penalidades acima poderão ser aplicadas isoladas ou cumulativamente, nos termos do art. 87 da Lei n° 8.666 de 21/6/93 e suas alterações.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ind w:end="-1" w:hanging="0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CLÁUSULA SEXTA – DA RESCISÃO 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>6.1 – O presente contrato poderá ser rescindido, independente de qualquer notificação judicial ou extrajudicial, no caso de inexecução total ou parcial, e pelos demais motivos enumerados no art. 78 e 79 da Lei 8666/93 e alterações posteriores.</w:t>
      </w:r>
    </w:p>
    <w:p>
      <w:pPr>
        <w:pStyle w:val="Normal"/>
        <w:widowControl w:val="false"/>
        <w:ind w:end="-1" w:firstLine="141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SÉTIMA – DA FISCALIZAÇÃO</w:t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>7 1 – O CONTRATANTE fiscalizará a execução do contrato, sempre que julgar necessário.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§ 1° - A fiscalização exercida não reduz nem exclui a responsabilidade da CONTRATADA, inclusive de terceiros, por qualquer irregularidade.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§ 2° - O CONTRATANTE anotará em registro próprio todas as ocorrências relacionadas com a execução do contrato, determinando o que for necessário à regularização das incidências observadas, podendo ainda fazer relatórios sobre o andamento do contrato, sendo permitido multas por infrações cometidas pela CONTRATADA.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OITAVA – DAS OBRIGAÇÕES DA CONTRATADA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8.1 – São obrigações da CONTRATADA: 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a) responsabilizar-se pela sinalização de advertência e outras necessárias a execução dos serviços;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b) responsabilizar-se pela preservação das </w:t>
      </w:r>
      <w:r>
        <w:rPr>
          <w:rFonts w:cs="Arial" w:ascii="Arial" w:hAnsi="Arial"/>
          <w:sz w:val="22"/>
          <w:szCs w:val="22"/>
        </w:rPr>
        <w:t>benfeitorias existentes;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c) efetuar semanalmente a limpeza da obra;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d) compor o seu quadro de funcionários com pessoal apto para o exercício das funções, devidamente uniformizados e com equipamentos de segurança, possuindo registro em carteira de trabalho;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e) apresentar laudo técnico de profissional qualificado, quando solicitado pelo Município, responsabilizando-se pela execução dos serviços;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f) arcar com as despesas administrativas, tributos, salário dos empregados, encargos sociais e outros;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g) facilitar todas as atividades de fiscalização pelo Município;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h) fornecer todas as informações e elementos necessários, sempre que o Município solicitar;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não sub-empreitar total ou parcial da obra;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j) responder pela solidez e segurança dos serviços executados no prazo previsto em lei;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k) manter no local da obra o  engenheiro responsável pela execução da obra; 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l) acompanhamento diário do engenheiro, sendo que semanalmente reunir-se-á com o engenheiro fiscal designado pelo Município para análise e acompanhamento do cumprimento dos serviços projetados;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m) confecção e preenchimento do boletim diário da obra, vistado pelo engenheiro responsável pela execução da mesma;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n) confecção e preenchimento do boletim de medição da obra vistado pelo engenheiro responsável da execução da mesma, pelo menos um a cada etapa prevista para o pagamento;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o) registro da obra junto ao INSS (abertura da matricula da obra);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p) outras obrigações mencionadas nos memoriais e projetos do processo licitatório;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q) Comprovar, quando do término da obra, o pagamento dos encargos sociais incidentes, mormente encargos previdenciários resultantes da execução do contrato, nos termos do art. 31 da Lei 8.212/91;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 xml:space="preserve">r) Prestar </w:t>
      </w:r>
      <w:r>
        <w:rPr>
          <w:rFonts w:cs="Arial" w:ascii="Arial" w:hAnsi="Arial"/>
          <w:b/>
          <w:sz w:val="22"/>
          <w:szCs w:val="22"/>
        </w:rPr>
        <w:t>caução</w:t>
      </w:r>
      <w:r>
        <w:rPr>
          <w:rFonts w:cs="Arial" w:ascii="Arial" w:hAnsi="Arial"/>
          <w:b/>
          <w:bCs/>
          <w:sz w:val="22"/>
          <w:szCs w:val="22"/>
        </w:rPr>
        <w:t xml:space="preserve"> de adimplemento do contrato </w:t>
      </w:r>
      <w:r>
        <w:rPr>
          <w:rFonts w:cs="Arial" w:ascii="Arial" w:hAnsi="Arial"/>
          <w:sz w:val="22"/>
          <w:szCs w:val="22"/>
        </w:rPr>
        <w:t>no prazo de 3 dias úteis após assinatura do contrato</w:t>
      </w:r>
      <w:r>
        <w:rPr>
          <w:rFonts w:cs="Arial" w:ascii="Arial" w:hAnsi="Arial"/>
          <w:b/>
          <w:bCs/>
          <w:sz w:val="22"/>
          <w:szCs w:val="22"/>
        </w:rPr>
        <w:t>, no valor equivalente à 5% do valor contratado</w:t>
      </w:r>
      <w:r>
        <w:rPr>
          <w:rFonts w:cs="Arial" w:ascii="Arial" w:hAnsi="Arial"/>
          <w:sz w:val="22"/>
          <w:szCs w:val="22"/>
        </w:rPr>
        <w:t>, nas modalidades e critérios previstos no art. 56 da Lei 8.666/93.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Parágrafo único. A contratada é responsável pelos encargos trabalhistas, previdenciários, fiscais e comerciais resultantes da execução do contrato.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NONA – DA RESPONSABILIDADE DA CONTRATANTE</w:t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sz w:val="22"/>
          <w:szCs w:val="22"/>
        </w:rPr>
        <w:t>9. 1 – São responsabilidade do CONTRATANTE: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a) manter pessoa ou constituir uma Comissão Especial designada pelo Prefeito Municipal, visando a fiscalização dos serviços;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b) encaminhar a publicação resumida do instrumento de contrato e seus aditamentos, se ocorrerem, em mural e/ou jornal de circulação regional;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c) arcar com as despesas concernentes à publicação do extrato do contrato e seus aditivos se ocorrerem.</w:t>
      </w:r>
    </w:p>
    <w:p>
      <w:pPr>
        <w:pStyle w:val="Normal"/>
        <w:widowControl w:val="false"/>
        <w:suppressAutoHyphens w:val="true"/>
        <w:ind w:firstLine="1418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DÉCIMA – DOS RECURSOS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10.1 – Os recursos interpostos às decisões proferidas pela fiscalização somente serão acolhidos nos termos do Capítulo V da Lei n° 8.666/93, se dirigidos diretamente ao Prefeito, e protocolado na Prefeitura Municipal.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Parágrafo Único.</w:t>
      </w:r>
      <w:r>
        <w:rPr>
          <w:rFonts w:cs="Arial" w:ascii="Arial" w:hAnsi="Arial"/>
          <w:sz w:val="22"/>
          <w:szCs w:val="22"/>
        </w:rPr>
        <w:t xml:space="preserve"> Os recursos não dirigidos conforme determinação desta cláusula não serão conhecidos.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DÉCIMA PRIMEIRA – DOS ENCARGOS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Arial" w:hAnsi="Arial"/>
          <w:sz w:val="22"/>
          <w:szCs w:val="22"/>
        </w:rPr>
        <w:t>11.1 – As despesas dos encargos trabalhistas, previdenciários, fiscais e comerciais correrão por conta da CONTRATADA, ficando esta, ainda, responsável pelo correto cumprimento da legislação de segurança do trabalho.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11.2 A empresa contratada deverá fornecer, por ocasião da assinatura do contrato, nominata das pessoas que irão desenvolver os serviços à mesma, bem como comprovante de Inscrição dos funcionários junto ao INSS.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11.3.  Antes de efetuar o pagamento da última parcela, a contratada deverá comprovar que efetuou o pagamento dos encargos previdenciários resultantes da execução do contrato, nos termos do disposto no DECRETO No 3.048, DE 6 DE MAIO DE 1999, através do fornecimento de guia de recolhimento quitada e respectiva folha de pagamento.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11.4. Os valores devidos acerca de encargos previdenciários, bem como o(s) tributo(s) incidente(s), serão retidos quando do pagamento do preço. 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CLÁUSULA DÉCIMA SEGUNDA – DISPOSIÇÃO FINAL E FORO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12.1 -  A contratada fica obrigada a aceitar, nas mesmas condições, as supressões e ou aumentos que se fizerem necessários, até o limite de 25 %.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>12.2 – Para dirimir toda e qualquer questão que derivar deste contrato, fica eleito o Foro da Comarca de Tangará, SC, com renúncia expressa de qualquer outro, por mais privilegiado que seja.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ind w:end="-1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E por estarem assim, acordados e ajustados, depois de lido e achado conforme, declaram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>
      <w:pPr>
        <w:pStyle w:val="Normal"/>
        <w:widowControl w:val="false"/>
        <w:ind w:end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>
          <w:rFonts w:cs="Arial" w:ascii="Arial" w:hAnsi="Arial"/>
          <w:sz w:val="22"/>
          <w:szCs w:val="22"/>
        </w:rPr>
        <w:t xml:space="preserve">Pinheiro Preto(SC), </w:t>
      </w:r>
      <w:r>
        <w:rPr>
          <w:rFonts w:cs="Arial" w:ascii="Arial" w:hAnsi="Arial"/>
          <w:sz w:val="22"/>
          <w:szCs w:val="22"/>
        </w:rPr>
        <w:t xml:space="preserve">06 de março </w:t>
      </w:r>
      <w:r>
        <w:rPr>
          <w:rFonts w:cs="Arial" w:ascii="Arial" w:hAnsi="Arial"/>
          <w:sz w:val="22"/>
          <w:szCs w:val="22"/>
        </w:rPr>
        <w:t>de 2020</w:t>
      </w:r>
      <w:r>
        <w:rPr/>
        <w:t xml:space="preserve">. </w:t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end="-1" w:hanging="0"/>
        <w:jc w:val="both"/>
        <w:outlineLvl w:val="0"/>
        <w:rPr/>
      </w:pPr>
      <w:r>
        <w:rPr/>
      </w:r>
    </w:p>
    <w:tbl>
      <w:tblPr>
        <w:tblW w:w="9360" w:type="dxa"/>
        <w:jc w:val="start"/>
        <w:tblInd w:w="-70" w:type="dxa"/>
        <w:tblBorders/>
        <w:tblCellMar>
          <w:top w:w="0" w:type="dxa"/>
          <w:start w:w="70" w:type="dxa"/>
          <w:bottom w:w="0" w:type="dxa"/>
          <w:end w:w="70" w:type="dxa"/>
        </w:tblCellMar>
      </w:tblPr>
      <w:tblGrid>
        <w:gridCol w:w="4679"/>
        <w:gridCol w:w="4681"/>
      </w:tblGrid>
      <w:tr>
        <w:trPr>
          <w:trHeight w:val="440" w:hRule="atLeast"/>
        </w:trPr>
        <w:tc>
          <w:tcPr>
            <w:tcW w:w="467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Município de Pinheiro Preto</w:t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Pedro Rabuske</w:t>
            </w:r>
          </w:p>
        </w:tc>
        <w:tc>
          <w:tcPr>
            <w:tcW w:w="46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end="-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Contratada</w:t>
            </w:r>
          </w:p>
          <w:p>
            <w:pPr>
              <w:pStyle w:val="Normal"/>
              <w:widowControl w:val="false"/>
              <w:ind w:end="-1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ind w:end="-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Construtora Civile 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both"/>
        <w:outlineLvl w:val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both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Testemunhas:</w:t>
        <w:tab/>
        <w:tab/>
        <w:tab/>
        <w:tab/>
        <w:tab/>
        <w:tab/>
        <w:t>Assessoria</w:t>
      </w:r>
      <w:r>
        <w:rPr>
          <w:rFonts w:cs="Arial" w:ascii="Arial" w:hAnsi="Arial"/>
          <w:b/>
          <w:bCs/>
          <w:sz w:val="22"/>
          <w:szCs w:val="22"/>
        </w:rPr>
        <w:t xml:space="preserve"> Juríd</w:t>
      </w:r>
      <w:r>
        <w:rPr>
          <w:rFonts w:ascii="Arial" w:hAnsi="Arial"/>
          <w:b/>
          <w:bCs/>
          <w:sz w:val="22"/>
          <w:szCs w:val="22"/>
        </w:rPr>
        <w:t>ica:</w:t>
      </w:r>
    </w:p>
    <w:tbl>
      <w:tblPr>
        <w:tblW w:w="4786" w:type="dxa"/>
        <w:jc w:val="start"/>
        <w:tblInd w:w="-108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4786"/>
      </w:tblGrid>
      <w:tr>
        <w:trPr/>
        <w:tc>
          <w:tcPr>
            <w:tcW w:w="4786" w:type="dxa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1 – 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4786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 –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end="-1" w:hanging="0"/>
        <w:jc w:val="center"/>
        <w:outlineLvl w:val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557" w:footer="1134" w:bottom="213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Bangkok">
    <w:altName w:val="Courier New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end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Rodap"/>
      <w:pBdr>
        <w:top w:val="single" w:sz="4" w:space="1" w:color="000000"/>
      </w:pBdr>
      <w:ind w:end="360" w:hanging="0"/>
      <w:jc w:val="center"/>
      <w:rPr/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end="5137" w:firstLine="1027"/>
      <w:rPr>
        <w:rFonts w:ascii="Bangkok;Courier New" w:hAnsi="Bangkok;Courier New" w:cs="Bangkok;Courier New"/>
        <w:b/>
        <w:b/>
        <w:color w:val="FFFFFF"/>
        <w:sz w:val="10"/>
        <w:szCs w:val="10"/>
        <w:lang w:val="pt-BR" w:eastAsia="pt-BR"/>
      </w:rPr>
    </w:pPr>
    <w:r>
      <w:rPr>
        <w:rFonts w:cs="Bangkok;Courier New" w:ascii="Bangkok;Courier New" w:hAnsi="Bangkok;Courier New"/>
        <w:b/>
        <w:color w:val="FFFFFF"/>
        <w:sz w:val="10"/>
        <w:szCs w:val="10"/>
        <w:lang w:val="pt-BR" w:eastAsia="pt-BR"/>
      </w:rPr>
      <w:t>E</w: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-252730</wp:posOffset>
              </wp:positionH>
              <wp:positionV relativeFrom="paragraph">
                <wp:posOffset>-106045</wp:posOffset>
              </wp:positionV>
              <wp:extent cx="6414770" cy="95377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4770" cy="953770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ind w:end="1735" w:firstLine="1027"/>
                            <w:rPr/>
                          </w:pPr>
                          <w:r>
                            <w:rPr>
                              <w:rFonts w:eastAsia="Bangkok;Courier New" w:cs="Bangkok;Courier New" w:ascii="Bangkok;Courier New" w:hAnsi="Bangkok;Courier New"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  <w:t xml:space="preserve">             </w:t>
                          </w:r>
                          <w:r>
                            <w:rPr>
                              <w:rFonts w:cs="Bangkok;Courier New" w:ascii="Bangkok;Courier New" w:hAnsi="Bangkok;Courier New"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  <w:t>ESTADO DE SANTA CATARINA</w:t>
                          </w:r>
                        </w:p>
                        <w:p>
                          <w:pPr>
                            <w:pStyle w:val="Normal"/>
                            <w:ind w:end="0" w:hanging="0"/>
                            <w:rPr>
                              <w:rFonts w:ascii="Bangkok;Courier New" w:hAnsi="Bangkok;Courier New" w:cs="Bangkok;Courier New"/>
                              <w:b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</w:pPr>
                          <w:r>
                            <w:rPr>
                              <w:rFonts w:cs="Bangkok;Courier New" w:ascii="Bangkok;Courier New" w:hAnsi="Bangkok;Courier New"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Bangkok;Courier New" w:cs="Bangkok;Courier New" w:ascii="Bangkok;Courier New" w:hAnsi="Bangkok;Courier New"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  <w:t xml:space="preserve">                 </w:t>
                          </w:r>
                          <w:r>
                            <w:rPr>
                              <w:rFonts w:cs="Bangkok;Courier New" w:ascii="Bangkok;Courier New" w:hAnsi="Bangkok;Courier New"/>
                              <w:b/>
                              <w:color w:val="000000"/>
                              <w:sz w:val="28"/>
                              <w:szCs w:val="28"/>
                              <w:lang w:val="pt-BR" w:eastAsia="pt-BR"/>
                            </w:rPr>
                            <w:t>MUNICÍPIO DE PINHEIRO PRETO</w:t>
                          </w:r>
                          <w:r>
                            <w:rPr>
                              <w:rFonts w:cs="Bangkok;Courier New" w:ascii="Bangkok;Courier New" w:hAnsi="Bangkok;Courier New"/>
                              <w:b/>
                              <w:color w:val="000000"/>
                              <w:sz w:val="26"/>
                              <w:lang w:val="pt-BR" w:eastAsia="pt-BR"/>
                            </w:rPr>
                            <w:t xml:space="preserve">    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505.1pt;height:75.1pt;mso-wrap-distance-left:9.05pt;mso-wrap-distance-right:9.05pt;mso-wrap-distance-top:0pt;mso-wrap-distance-bottom:0pt;margin-top:-8.35pt;mso-position-vertical-relative:text;margin-left:-19.9pt;mso-position-horizontal-relative:text">
              <v:textbox>
                <w:txbxContent>
                  <w:p>
                    <w:pPr>
                      <w:pStyle w:val="Normal"/>
                      <w:ind w:end="1735" w:firstLine="1027"/>
                      <w:rPr/>
                    </w:pPr>
                    <w:r>
                      <w:rPr>
                        <w:rFonts w:eastAsia="Bangkok;Courier New" w:cs="Bangkok;Courier New" w:ascii="Bangkok;Courier New" w:hAnsi="Bangkok;Courier New"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  <w:t xml:space="preserve">             </w:t>
                    </w:r>
                    <w:r>
                      <w:rPr>
                        <w:rFonts w:cs="Bangkok;Courier New" w:ascii="Bangkok;Courier New" w:hAnsi="Bangkok;Courier New"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  <w:t>ESTADO DE SANTA CATARINA</w:t>
                    </w:r>
                  </w:p>
                  <w:p>
                    <w:pPr>
                      <w:pStyle w:val="Normal"/>
                      <w:ind w:end="0" w:hanging="0"/>
                      <w:rPr>
                        <w:rFonts w:ascii="Bangkok;Courier New" w:hAnsi="Bangkok;Courier New" w:cs="Bangkok;Courier New"/>
                        <w:b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</w:pPr>
                    <w:r>
                      <w:rPr>
                        <w:rFonts w:cs="Bangkok;Courier New" w:ascii="Bangkok;Courier New" w:hAnsi="Bangkok;Courier New"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eastAsia="Bangkok;Courier New" w:cs="Bangkok;Courier New" w:ascii="Bangkok;Courier New" w:hAnsi="Bangkok;Courier New"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  <w:t xml:space="preserve">                 </w:t>
                    </w:r>
                    <w:r>
                      <w:rPr>
                        <w:rFonts w:cs="Bangkok;Courier New" w:ascii="Bangkok;Courier New" w:hAnsi="Bangkok;Courier New"/>
                        <w:b/>
                        <w:color w:val="000000"/>
                        <w:sz w:val="28"/>
                        <w:szCs w:val="28"/>
                        <w:lang w:val="pt-BR" w:eastAsia="pt-BR"/>
                      </w:rPr>
                      <w:t>MUNICÍPIO DE PINHEIRO PRETO</w:t>
                    </w:r>
                    <w:r>
                      <w:rPr>
                        <w:rFonts w:cs="Bangkok;Courier New" w:ascii="Bangkok;Courier New" w:hAnsi="Bangkok;Courier New"/>
                        <w:b/>
                        <w:color w:val="000000"/>
                        <w:sz w:val="26"/>
                        <w:lang w:val="pt-BR" w:eastAsia="pt-BR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column">
                <wp:posOffset>91440</wp:posOffset>
              </wp:positionH>
              <wp:positionV relativeFrom="paragraph">
                <wp:posOffset>-46990</wp:posOffset>
              </wp:positionV>
              <wp:extent cx="692785" cy="882650"/>
              <wp:effectExtent l="0" t="0" r="0" b="0"/>
              <wp:wrapNone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785" cy="8826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910" cy="867410"/>
                                <wp:effectExtent l="0" t="0" r="0" b="0"/>
                                <wp:docPr id="3" name="Figura1" descr="" title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igura1" descr="" title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4" t="-2" r="-4" b="-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" cy="867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7620" tIns="7620" rIns="7620" bIns="76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4.55pt;height:69.5pt;mso-wrap-distance-left:9.05pt;mso-wrap-distance-right:9.05pt;mso-wrap-distance-top:0pt;mso-wrap-distance-bottom:0pt;margin-top:-3.7pt;mso-position-vertical-relative:text;margin-left:7.2pt;mso-position-horizontal-relative:text">
              <v:fill opacity="0f"/>
              <v:textbox inset="0.00833333333333333in,0.00833333333333333in,0.00833333333333333in,0.00833333333333333in"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676910" cy="867410"/>
                          <wp:effectExtent l="0" t="0" r="0" b="0"/>
                          <wp:docPr id="4" name="Figura1" descr="" title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igura1" descr="" title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4" t="-2" r="-4" b="-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" cy="867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ind w:end="1735" w:firstLine="1027"/>
      <w:rPr>
        <w:rFonts w:ascii="Bangkok;Courier New" w:hAnsi="Bangkok;Courier New" w:eastAsia="Bangkok;Courier New" w:cs="Bangkok;Courier New"/>
        <w:b/>
        <w:b/>
        <w:color w:val="000000"/>
        <w:sz w:val="26"/>
        <w:lang w:val="pt-BR" w:eastAsia="pt-BR"/>
      </w:rPr>
    </w:pPr>
    <w:r>
      <w:rPr>
        <w:rFonts w:eastAsia="Bangkok;Courier New" w:cs="Bangkok;Courier New" w:ascii="Bangkok;Courier New" w:hAnsi="Bangkok;Courier New"/>
        <w:b/>
        <w:color w:val="000000"/>
        <w:sz w:val="26"/>
        <w:lang w:val="pt-BR" w:eastAsia="pt-BR"/>
      </w:rPr>
      <w:t xml:space="preserve">        </w:t>
    </w:r>
  </w:p>
  <w:p>
    <w:pPr>
      <w:pStyle w:val="Normal"/>
      <w:ind w:end="-107" w:firstLine="3"/>
      <w:rPr>
        <w:rFonts w:ascii="Bangkok;Courier New" w:hAnsi="Bangkok;Courier New" w:cs="Bangkok;Courier New"/>
        <w:b/>
        <w:b/>
        <w:color w:val="000000"/>
        <w:sz w:val="26"/>
        <w:lang w:val="pt-BR" w:eastAsia="pt-BR"/>
      </w:rPr>
    </w:pPr>
    <w:r>
      <w:rPr>
        <w:rFonts w:cs="Bangkok;Courier New" w:ascii="Bangkok;Courier New" w:hAnsi="Bangkok;Courier New"/>
        <w:b/>
        <w:color w:val="000000"/>
        <w:sz w:val="26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Normal"/>
      <w:ind w:end="-107" w:hanging="0"/>
      <w:rPr>
        <w:rFonts w:ascii="Arial" w:hAnsi="Arial" w:cs="Arial"/>
        <w:b/>
        <w:b/>
        <w:color w:val="000000"/>
        <w:sz w:val="2"/>
        <w:szCs w:val="2"/>
        <w:lang w:val="pt-BR" w:eastAsia="pt-BR"/>
      </w:rPr>
    </w:pPr>
    <w:r>
      <w:rPr>
        <w:rFonts w:cs="Arial" w:ascii="Arial" w:hAnsi="Arial"/>
        <w:b/>
        <w:color w:val="000000"/>
        <w:sz w:val="2"/>
        <w:szCs w:val="2"/>
        <w:lang w:val="pt-BR" w:eastAsia="pt-BR"/>
      </w:rPr>
    </w:r>
  </w:p>
  <w:p>
    <w:pPr>
      <w:pStyle w:val="Cabealho"/>
      <w:rPr>
        <w:rFonts w:ascii="Arial" w:hAnsi="Arial" w:cs="Arial"/>
        <w:b/>
        <w:b/>
        <w:color w:val="000000"/>
        <w:lang w:val="pt-BR" w:eastAsia="pt-BR"/>
      </w:rPr>
    </w:pPr>
    <w:r>
      <w:rPr>
        <w:rFonts w:cs="Arial" w:ascii="Arial" w:hAnsi="Arial"/>
        <w:b/>
        <w:color w:val="000000"/>
        <w:lang w:val="pt-BR" w:eastAsia="pt-BR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start"/>
      <w:pPr>
        <w:ind w:start="1080" w:hanging="720"/>
      </w:pPr>
      <w:rPr>
        <w:sz w:val="22"/>
        <w:szCs w:val="22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Mangal"/>
      <w:color w:val="auto"/>
      <w:kern w:val="2"/>
      <w:sz w:val="24"/>
      <w:szCs w:val="24"/>
      <w:lang w:val="pt-BR" w:eastAsia="zh-CN" w:bidi="hi-IN"/>
    </w:rPr>
  </w:style>
  <w:style w:type="character" w:styleId="WW8Num5z0">
    <w:name w:val="WW8Num5z0"/>
    <w:qFormat/>
    <w:rPr>
      <w:rFonts w:ascii="Arial" w:hAnsi="Arial" w:cs="Arial"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LibreOffice/6.1.1.2$Windows_X86_64 LibreOffice_project/5d19a1bfa650b796764388cd8b33a5af1f5baa1b</Application>
  <Pages>6</Pages>
  <Words>1754</Words>
  <Characters>9767</Characters>
  <CharactersWithSpaces>11530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2020-03-06T10:44:26Z</dcterms:created>
  <dc:creator/>
  <dc:description/>
  <dc:language>pt-BR</dc:language>
  <cp:lastModifiedBy/>
  <dcterms:modified xsi:type="dcterms:W3CDTF">2020-03-06T11:02:35Z</dcterms:modified>
  <cp:revision>1</cp:revision>
  <dc:subject/>
  <dc:title/>
</cp:coreProperties>
</file>