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EE0671">
        <w:rPr>
          <w:rFonts w:ascii="Arial" w:hAnsi="Arial" w:cs="Arial"/>
          <w:b/>
          <w:sz w:val="22"/>
          <w:szCs w:val="22"/>
        </w:rPr>
        <w:t>9</w:t>
      </w:r>
      <w:r w:rsidR="00A604E2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A604E2">
        <w:rPr>
          <w:rFonts w:ascii="Arial" w:hAnsi="Arial" w:cs="Arial"/>
        </w:rPr>
        <w:t>PATRICIA SIMONE KASTELLER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A604E2">
        <w:rPr>
          <w:rFonts w:ascii="Arial" w:hAnsi="Arial" w:cs="Arial"/>
        </w:rPr>
        <w:t>PATRICIA SIMONE KASTELLER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</w:t>
      </w:r>
      <w:r w:rsidR="008C5B27">
        <w:rPr>
          <w:rFonts w:ascii="Arial" w:hAnsi="Arial" w:cs="Arial"/>
        </w:rPr>
        <w:t xml:space="preserve"> </w:t>
      </w:r>
      <w:r w:rsidR="00A604E2">
        <w:rPr>
          <w:rFonts w:ascii="Arial" w:hAnsi="Arial" w:cs="Arial"/>
        </w:rPr>
        <w:t>15.422.119/0001-20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A604E2">
        <w:rPr>
          <w:rFonts w:ascii="Arial" w:hAnsi="Arial" w:cs="Arial"/>
        </w:rPr>
        <w:t>Rua Alexandre Gregório, n 357, Centro, Calmon/SC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A604E2">
        <w:rPr>
          <w:rFonts w:ascii="Arial" w:hAnsi="Arial" w:cs="Arial"/>
        </w:rPr>
        <w:t>PATRICIA SIMONE KASTELLER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A604E2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04E2" w:rsidRDefault="00A604E2" w:rsidP="00A60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04E2" w:rsidRDefault="00A604E2" w:rsidP="00A60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A0C">
              <w:rPr>
                <w:rFonts w:ascii="Arial" w:hAnsi="Arial" w:cs="Arial"/>
                <w:szCs w:val="24"/>
              </w:rPr>
              <w:t xml:space="preserve">Oficina de Dança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04E2" w:rsidRDefault="00A604E2" w:rsidP="00A60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4E2" w:rsidRDefault="00A604E2" w:rsidP="00A60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R$ 89,16</w:t>
            </w:r>
            <w:bookmarkStart w:id="0" w:name="_GoBack"/>
            <w:bookmarkEnd w:id="0"/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A604E2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PATRICIA SIMONE KASTELLER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D3" w:rsidRDefault="008334D3" w:rsidP="00275548">
      <w:r>
        <w:separator/>
      </w:r>
    </w:p>
  </w:endnote>
  <w:endnote w:type="continuationSeparator" w:id="0">
    <w:p w:rsidR="008334D3" w:rsidRDefault="008334D3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D3" w:rsidRDefault="008334D3" w:rsidP="00275548">
      <w:r>
        <w:separator/>
      </w:r>
    </w:p>
  </w:footnote>
  <w:footnote w:type="continuationSeparator" w:id="0">
    <w:p w:rsidR="008334D3" w:rsidRDefault="008334D3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330AFE"/>
    <w:rsid w:val="00382E12"/>
    <w:rsid w:val="00460A52"/>
    <w:rsid w:val="005B2FA4"/>
    <w:rsid w:val="00700B0D"/>
    <w:rsid w:val="008334D3"/>
    <w:rsid w:val="00892AE0"/>
    <w:rsid w:val="008C5B27"/>
    <w:rsid w:val="009151E7"/>
    <w:rsid w:val="00962983"/>
    <w:rsid w:val="009B2712"/>
    <w:rsid w:val="00A604E2"/>
    <w:rsid w:val="00AA7383"/>
    <w:rsid w:val="00C46F4F"/>
    <w:rsid w:val="00D050B2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2020-04-08T18:04:00Z</cp:lastPrinted>
  <dcterms:created xsi:type="dcterms:W3CDTF">2020-04-08T18:08:00Z</dcterms:created>
  <dcterms:modified xsi:type="dcterms:W3CDTF">2020-04-08T18:08:00Z</dcterms:modified>
</cp:coreProperties>
</file>