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</w:p>
    <w:p w:rsidR="007252D3" w:rsidRPr="0053549A" w:rsidRDefault="007252D3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367BAE">
        <w:rPr>
          <w:rFonts w:ascii="Arial" w:hAnsi="Arial" w:cs="Arial"/>
          <w:b/>
          <w:bCs/>
          <w:sz w:val="22"/>
          <w:szCs w:val="22"/>
        </w:rPr>
        <w:t>72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Pr="0053549A">
        <w:rPr>
          <w:rFonts w:ascii="Arial" w:hAnsi="Arial" w:cs="Arial"/>
          <w:b/>
          <w:iCs/>
          <w:sz w:val="21"/>
          <w:szCs w:val="21"/>
        </w:rPr>
        <w:t>MUNICÍPIO DE PINHEIRO PRETO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82.827.148/0001-69, com sede na Avenida Marechal Costa e Silva ,111, nesta cidade de Pinheiro Preto/SC, neste ato representado pelo Prefeito Municipal, resolvem registrar o(s) preço(s) da empresa: </w:t>
      </w:r>
      <w:r w:rsidR="00367BAE">
        <w:rPr>
          <w:rFonts w:ascii="Arial" w:hAnsi="Arial" w:cs="Arial"/>
          <w:b/>
          <w:sz w:val="21"/>
          <w:szCs w:val="21"/>
        </w:rPr>
        <w:t>SÓ LUZ COMERCIO MATERIAIS ELETRICOS EIRELI ME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</w:t>
      </w:r>
      <w:r w:rsidR="00367BAE">
        <w:rPr>
          <w:rFonts w:ascii="Arial" w:hAnsi="Arial" w:cs="Arial"/>
          <w:sz w:val="21"/>
          <w:szCs w:val="21"/>
        </w:rPr>
        <w:t>07.038.642/0001-29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367BAE">
        <w:rPr>
          <w:rFonts w:ascii="Arial" w:hAnsi="Arial" w:cs="Arial"/>
          <w:sz w:val="21"/>
          <w:szCs w:val="21"/>
        </w:rPr>
        <w:t>Nereu Ramos, nº 913</w:t>
      </w:r>
      <w:r w:rsidRPr="0053549A">
        <w:rPr>
          <w:rFonts w:ascii="Arial" w:hAnsi="Arial" w:cs="Arial"/>
          <w:sz w:val="21"/>
          <w:szCs w:val="21"/>
        </w:rPr>
        <w:t xml:space="preserve">, na cidade de </w:t>
      </w:r>
      <w:r w:rsidR="007252D3">
        <w:rPr>
          <w:rFonts w:ascii="Arial" w:hAnsi="Arial" w:cs="Arial"/>
          <w:sz w:val="21"/>
          <w:szCs w:val="21"/>
        </w:rPr>
        <w:t>Campos Novos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7252D3">
        <w:rPr>
          <w:rFonts w:ascii="Arial" w:hAnsi="Arial" w:cs="Arial"/>
          <w:sz w:val="21"/>
          <w:szCs w:val="21"/>
        </w:rPr>
        <w:t>Santa Catarina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</w:t>
      </w:r>
      <w:bookmarkStart w:id="0" w:name="_GoBack"/>
      <w:bookmarkEnd w:id="0"/>
      <w:r w:rsidRPr="0053549A">
        <w:rPr>
          <w:rFonts w:ascii="Arial" w:hAnsi="Arial" w:cs="Arial"/>
          <w:sz w:val="21"/>
          <w:szCs w:val="21"/>
        </w:rPr>
        <w:t>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PROTEÇÃO INDIVIDUAL (EPI) PARA USO DAS SECR</w:t>
      </w:r>
      <w:r w:rsidR="0009572B">
        <w:rPr>
          <w:rFonts w:ascii="Arial" w:hAnsi="Arial" w:cs="Arial"/>
          <w:sz w:val="22"/>
          <w:szCs w:val="22"/>
        </w:rPr>
        <w:t>ETARIAS DE AGRICULTURA, OBRAS</w:t>
      </w:r>
      <w:r w:rsidRPr="0053549A">
        <w:rPr>
          <w:rFonts w:ascii="Arial" w:hAnsi="Arial" w:cs="Arial"/>
          <w:sz w:val="22"/>
          <w:szCs w:val="22"/>
        </w:rPr>
        <w:t xml:space="preserve"> E DESENVOLVIMENTO URBANO: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1"/>
        <w:gridCol w:w="1046"/>
        <w:gridCol w:w="3938"/>
        <w:gridCol w:w="1184"/>
        <w:gridCol w:w="1256"/>
      </w:tblGrid>
      <w:tr w:rsidR="00367BAE" w:rsidRPr="0053549A" w:rsidTr="005B4F1E">
        <w:trPr>
          <w:trHeight w:val="5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BAE" w:rsidRPr="0053549A" w:rsidRDefault="00367BAE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367BAE" w:rsidRPr="0053549A" w:rsidTr="005B4F1E">
        <w:trPr>
          <w:trHeight w:val="1485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03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PAR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>LUVA DE ALGODÃO</w:t>
            </w:r>
            <w:r w:rsidRPr="0053549A">
              <w:rPr>
                <w:rFonts w:ascii="Arial" w:hAnsi="Arial" w:cs="Arial"/>
              </w:rPr>
              <w:t xml:space="preserve"> – luva de segurança tricotada em quatro fios de algodão, com pigmentos antiderrapantes de PVC na palma e face palmar dos dedos, punhos em malha de pulso para não escorregar durante o uso. Com Certificação de Aprovação emitido pelo Ministério do Trabalho (CA)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BAE" w:rsidRPr="0053549A" w:rsidRDefault="00367BAE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VOLKS</w:t>
            </w:r>
          </w:p>
        </w:tc>
      </w:tr>
      <w:tr w:rsidR="00367BAE" w:rsidRPr="0053549A" w:rsidTr="005B4F1E">
        <w:trPr>
          <w:trHeight w:val="567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PAR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</w:rPr>
              <w:t>LUVAS IMPERVEÁVEIS DE LATEX-</w:t>
            </w:r>
            <w:r w:rsidRPr="0053549A">
              <w:rPr>
                <w:rFonts w:ascii="Arial" w:hAnsi="Arial" w:cs="Arial"/>
              </w:rPr>
              <w:t xml:space="preserve"> Luva de segurança em borracha natural, revestimento interno em algodão flocado, antiderrapante na palma e face palmar dos dedos, punhos com virola, nos tamanhos P, M, G, GG, XG. (</w:t>
            </w:r>
            <w:proofErr w:type="gramStart"/>
            <w:r w:rsidRPr="0053549A">
              <w:rPr>
                <w:rFonts w:ascii="Arial" w:hAnsi="Arial" w:cs="Arial"/>
              </w:rPr>
              <w:t>quantidade</w:t>
            </w:r>
            <w:proofErr w:type="gramEnd"/>
            <w:r w:rsidRPr="0053549A">
              <w:rPr>
                <w:rFonts w:ascii="Arial" w:hAnsi="Arial" w:cs="Arial"/>
              </w:rPr>
              <w:t xml:space="preserve"> de cada tamanho será informada na ordem de fornecimento). Com Certificação de Aprovação emitido pelo Ministério do Trabalho (CA)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67BAE" w:rsidRPr="0053549A" w:rsidRDefault="00367BAE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BAE" w:rsidRPr="0053549A" w:rsidRDefault="00367BAE" w:rsidP="005B4F1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MUCAMBO</w:t>
            </w:r>
          </w:p>
        </w:tc>
      </w:tr>
    </w:tbl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F51ABE" w:rsidRPr="0053549A" w:rsidRDefault="00F51ABE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Default="00036718" w:rsidP="0009572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Pr="0053549A">
        <w:rPr>
          <w:rFonts w:ascii="Arial" w:hAnsi="Arial" w:cs="Arial"/>
          <w:b/>
        </w:rPr>
        <w:t>82.827.148/0001-69</w:t>
      </w:r>
      <w:r w:rsidRPr="0053549A">
        <w:rPr>
          <w:rFonts w:ascii="Arial" w:hAnsi="Arial" w:cs="Arial"/>
        </w:rPr>
        <w:t>, Município de Pinheiro Preto;</w:t>
      </w:r>
    </w:p>
    <w:p w:rsidR="0009572B" w:rsidRPr="0009572B" w:rsidRDefault="0009572B" w:rsidP="0009572B">
      <w:pPr>
        <w:pStyle w:val="PargrafodaLista"/>
        <w:ind w:left="720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10.4 – Nos termos do artigo 7º da Lei nº 10.520/2002, se o licitante, convocado dentro do prazo de validade de sua proposta, não assinar a Ata de Registro de Preços, recusar-se a aceitar ou retirar a Autorização de Fornecimento ou documento equivalente, deixar de 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</w:t>
      </w:r>
      <w:r w:rsidRPr="0053549A">
        <w:rPr>
          <w:rFonts w:ascii="Arial" w:hAnsi="Arial" w:cs="Arial"/>
          <w:sz w:val="21"/>
          <w:szCs w:val="21"/>
        </w:rPr>
        <w:lastRenderedPageBreak/>
        <w:t>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F51ABE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  <w:u w:val="thick"/>
        </w:rPr>
        <w:t>a) Secretaria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de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Agricultura:</w:t>
      </w:r>
      <w:r w:rsidRPr="009255DA"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EDSON RABUSKE</w:t>
      </w:r>
      <w:r w:rsidRPr="009255DA">
        <w:rPr>
          <w:rFonts w:ascii="Arial" w:hAnsi="Arial" w:cs="Arial"/>
          <w:b/>
          <w:sz w:val="23"/>
          <w:szCs w:val="23"/>
        </w:rPr>
        <w:t xml:space="preserve"> </w:t>
      </w:r>
      <w:r w:rsidR="00F51ABE">
        <w:rPr>
          <w:rFonts w:ascii="Arial" w:hAnsi="Arial" w:cs="Arial"/>
          <w:sz w:val="23"/>
          <w:szCs w:val="23"/>
        </w:rPr>
        <w:t>(49) 3562 2000;</w:t>
      </w:r>
    </w:p>
    <w:p w:rsidR="009A09F5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</w:rPr>
        <w:t xml:space="preserve">b) Secretaria Municipal de Transportes e Obras, </w:t>
      </w:r>
      <w:r>
        <w:rPr>
          <w:rFonts w:ascii="Arial" w:hAnsi="Arial" w:cs="Arial"/>
          <w:sz w:val="23"/>
          <w:szCs w:val="23"/>
        </w:rPr>
        <w:t>EDGAR MAZUTTI</w:t>
      </w:r>
      <w:r w:rsidR="00F51ABE">
        <w:rPr>
          <w:rFonts w:ascii="Arial" w:hAnsi="Arial" w:cs="Arial"/>
          <w:sz w:val="23"/>
          <w:szCs w:val="23"/>
        </w:rPr>
        <w:t>, (49) 3562 2000</w:t>
      </w:r>
      <w:r w:rsidRPr="009255DA">
        <w:rPr>
          <w:rFonts w:ascii="Arial" w:hAnsi="Arial" w:cs="Arial"/>
          <w:sz w:val="23"/>
          <w:szCs w:val="23"/>
        </w:rPr>
        <w:t xml:space="preserve"> </w:t>
      </w:r>
    </w:p>
    <w:p w:rsidR="009A09F5" w:rsidRPr="00535ADC" w:rsidRDefault="009A09F5" w:rsidP="009A09F5">
      <w:pPr>
        <w:jc w:val="both"/>
        <w:rPr>
          <w:rFonts w:ascii="Arial" w:hAnsi="Arial" w:cs="Arial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367BAE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CLÁSULA 15ª - DO FORO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09572B">
        <w:rPr>
          <w:rFonts w:ascii="Arial" w:hAnsi="Arial" w:cs="Arial"/>
          <w:sz w:val="21"/>
          <w:szCs w:val="21"/>
        </w:rPr>
        <w:t>a</w:t>
      </w:r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367BAE" w:rsidP="005B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 LUZ COMERCIO MATERAIS ELETRICOS EIRELI ME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09572B"/>
    <w:rsid w:val="00131B48"/>
    <w:rsid w:val="00263CD7"/>
    <w:rsid w:val="00300CF5"/>
    <w:rsid w:val="00367BAE"/>
    <w:rsid w:val="003E2CC5"/>
    <w:rsid w:val="007252D3"/>
    <w:rsid w:val="009A09F5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2482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dcterms:created xsi:type="dcterms:W3CDTF">2019-08-19T17:10:00Z</dcterms:created>
  <dcterms:modified xsi:type="dcterms:W3CDTF">2019-08-20T11:30:00Z</dcterms:modified>
</cp:coreProperties>
</file>