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72E" w:rsidRDefault="00F2672E" w:rsidP="00F2672E">
      <w:pPr>
        <w:jc w:val="center"/>
      </w:pPr>
    </w:p>
    <w:p w:rsidR="00F2672E" w:rsidRDefault="00F2672E" w:rsidP="00F2672E">
      <w:pPr>
        <w:keepNext/>
        <w:ind w:right="17"/>
        <w:jc w:val="center"/>
        <w:rPr>
          <w:highlight w:val="yellow"/>
        </w:rPr>
      </w:pPr>
      <w:r>
        <w:rPr>
          <w:rFonts w:ascii="Arial" w:hAnsi="Arial" w:cs="Arial"/>
          <w:b/>
          <w:bCs/>
        </w:rPr>
        <w:t>P</w:t>
      </w:r>
      <w:r>
        <w:rPr>
          <w:rFonts w:ascii="Arial" w:hAnsi="Arial" w:cs="Arial"/>
          <w:b/>
          <w:bCs/>
        </w:rPr>
        <w:t>REGÃO PRESENCIAL Nº 063/2019</w:t>
      </w:r>
    </w:p>
    <w:p w:rsidR="00F2672E" w:rsidRDefault="00F2672E" w:rsidP="00F2672E">
      <w:pPr>
        <w:ind w:right="17"/>
        <w:jc w:val="center"/>
        <w:rPr>
          <w:highlight w:val="yellow"/>
        </w:rPr>
      </w:pPr>
      <w:r>
        <w:rPr>
          <w:rFonts w:ascii="Arial" w:hAnsi="Arial" w:cs="Arial"/>
          <w:b/>
          <w:bCs/>
        </w:rPr>
        <w:t>REGISTRO DE PREÇOS</w:t>
      </w:r>
    </w:p>
    <w:p w:rsidR="00F2672E" w:rsidRDefault="00F2672E" w:rsidP="00F2672E">
      <w:pPr>
        <w:jc w:val="center"/>
      </w:pPr>
    </w:p>
    <w:p w:rsidR="00F2672E" w:rsidRDefault="00F2672E" w:rsidP="00F2672E">
      <w:pPr>
        <w:jc w:val="center"/>
        <w:rPr>
          <w:highlight w:val="yellow"/>
        </w:rPr>
      </w:pPr>
      <w:r>
        <w:rPr>
          <w:rFonts w:ascii="Arial" w:hAnsi="Arial" w:cs="Arial"/>
          <w:b/>
          <w:bCs/>
        </w:rPr>
        <w:t xml:space="preserve">MINUTA DA ATA DE REGISTRO DE PREÇOS Nº </w:t>
      </w:r>
      <w:r>
        <w:rPr>
          <w:rFonts w:ascii="Arial" w:hAnsi="Arial" w:cs="Arial"/>
          <w:b/>
          <w:bCs/>
        </w:rPr>
        <w:t>67</w:t>
      </w:r>
      <w:r>
        <w:rPr>
          <w:rFonts w:ascii="Arial" w:hAnsi="Arial" w:cs="Arial"/>
          <w:b/>
          <w:bCs/>
        </w:rPr>
        <w:t>/2019</w:t>
      </w:r>
    </w:p>
    <w:p w:rsidR="00F2672E" w:rsidRDefault="00F2672E" w:rsidP="00F2672E">
      <w:pPr>
        <w:jc w:val="both"/>
      </w:pPr>
    </w:p>
    <w:p w:rsidR="00F2672E" w:rsidRDefault="00F2672E" w:rsidP="00F2672E">
      <w:pPr>
        <w:jc w:val="both"/>
      </w:pPr>
      <w:r>
        <w:rPr>
          <w:rFonts w:ascii="Arial" w:hAnsi="Arial" w:cs="Arial"/>
        </w:rPr>
        <w:t>Aos</w:t>
      </w:r>
      <w:r>
        <w:rPr>
          <w:rFonts w:ascii="Arial" w:hAnsi="Arial" w:cs="Arial"/>
        </w:rPr>
        <w:t xml:space="preserve"> cinco</w:t>
      </w:r>
      <w:r>
        <w:rPr>
          <w:rFonts w:ascii="Arial" w:hAnsi="Arial" w:cs="Arial"/>
        </w:rPr>
        <w:t xml:space="preserve"> dias do mês de </w:t>
      </w:r>
      <w:r>
        <w:rPr>
          <w:rFonts w:ascii="Arial" w:hAnsi="Arial" w:cs="Arial"/>
        </w:rPr>
        <w:t>julho</w:t>
      </w:r>
      <w:r>
        <w:rPr>
          <w:rFonts w:ascii="Arial" w:hAnsi="Arial" w:cs="Arial"/>
        </w:rPr>
        <w:t xml:space="preserve"> do ano de 2019, presentes de um lado o </w:t>
      </w:r>
      <w:r>
        <w:rPr>
          <w:rFonts w:ascii="Arial" w:hAnsi="Arial" w:cs="Arial"/>
          <w:b/>
          <w:bCs/>
        </w:rPr>
        <w:t>MUNICÍPIO DE PINHEIRO PRETO</w:t>
      </w:r>
      <w:r>
        <w:rPr>
          <w:rFonts w:ascii="Arial" w:hAnsi="Arial" w:cs="Arial"/>
        </w:rPr>
        <w:t xml:space="preserve"> pessoa jurídica de direito público interno, inscrito no CNPJ sob o nº 82.827.148/0001-69, com sede na Avenida marechal Costa e Silva, 111, nesta cidade de Pinheiro Preto/SC, neste ato representado pelo Prefeito Municipal, </w:t>
      </w:r>
      <w:r>
        <w:rPr>
          <w:rFonts w:ascii="Arial" w:hAnsi="Arial" w:cs="Arial"/>
          <w:b/>
          <w:bCs/>
        </w:rPr>
        <w:t>PEDRO RABUSKE</w:t>
      </w:r>
      <w:r>
        <w:rPr>
          <w:rFonts w:ascii="Arial" w:hAnsi="Arial" w:cs="Arial"/>
        </w:rPr>
        <w:t xml:space="preserve">, e de ora diante denominada simplesmente </w:t>
      </w:r>
      <w:r>
        <w:rPr>
          <w:rFonts w:ascii="Arial" w:hAnsi="Arial" w:cs="Arial"/>
          <w:b/>
          <w:bCs/>
        </w:rPr>
        <w:t>MUNICÍPIO</w:t>
      </w:r>
      <w:r>
        <w:rPr>
          <w:rFonts w:ascii="Arial" w:hAnsi="Arial" w:cs="Arial"/>
        </w:rPr>
        <w:t>, no uso de suas atribuições resolve registrar o(s) preço(s) da empresa:</w:t>
      </w:r>
      <w:r>
        <w:rPr>
          <w:rFonts w:ascii="Arial" w:hAnsi="Arial" w:cs="Arial"/>
        </w:rPr>
        <w:t xml:space="preserve"> NANDIS COMÉRCIO DE GASES ATMOSFERICOS LTDA EPP</w:t>
      </w:r>
      <w:r>
        <w:rPr>
          <w:rFonts w:ascii="Arial" w:hAnsi="Arial" w:cs="Arial"/>
        </w:rPr>
        <w:t xml:space="preserve"> pessoa jurídica de direito privado, inscrita no CNPJ sob o nº</w:t>
      </w:r>
      <w:r>
        <w:rPr>
          <w:rFonts w:ascii="Arial" w:hAnsi="Arial" w:cs="Arial"/>
        </w:rPr>
        <w:t xml:space="preserve"> 01.959.495/0001-43</w:t>
      </w:r>
      <w:r>
        <w:rPr>
          <w:rFonts w:ascii="Arial" w:hAnsi="Arial" w:cs="Arial"/>
        </w:rPr>
        <w:t xml:space="preserve">, com sede na Rua </w:t>
      </w:r>
      <w:r>
        <w:rPr>
          <w:rFonts w:ascii="Arial" w:hAnsi="Arial" w:cs="Arial"/>
        </w:rPr>
        <w:t>Xavantina,</w:t>
      </w:r>
      <w:r>
        <w:rPr>
          <w:rFonts w:ascii="Arial" w:hAnsi="Arial" w:cs="Arial"/>
        </w:rPr>
        <w:t xml:space="preserve"> nº </w:t>
      </w:r>
      <w:r>
        <w:rPr>
          <w:rFonts w:ascii="Arial" w:hAnsi="Arial" w:cs="Arial"/>
        </w:rPr>
        <w:t>233 D</w:t>
      </w:r>
      <w:r>
        <w:rPr>
          <w:rFonts w:ascii="Arial" w:hAnsi="Arial" w:cs="Arial"/>
        </w:rPr>
        <w:t xml:space="preserve">, na cidade de </w:t>
      </w:r>
      <w:r>
        <w:rPr>
          <w:rFonts w:ascii="Arial" w:hAnsi="Arial" w:cs="Arial"/>
        </w:rPr>
        <w:t>Chapeco</w:t>
      </w:r>
      <w:r>
        <w:rPr>
          <w:rFonts w:ascii="Arial" w:hAnsi="Arial" w:cs="Arial"/>
        </w:rPr>
        <w:t xml:space="preserve">, Estado de </w:t>
      </w:r>
      <w:r>
        <w:rPr>
          <w:rFonts w:ascii="Arial" w:hAnsi="Arial" w:cs="Arial"/>
        </w:rPr>
        <w:t>Santa Catarina</w:t>
      </w:r>
      <w:r>
        <w:rPr>
          <w:rFonts w:ascii="Arial" w:hAnsi="Arial" w:cs="Arial"/>
        </w:rPr>
        <w:t xml:space="preserve">, neste ato representada pelo Senhor </w:t>
      </w:r>
      <w:r>
        <w:rPr>
          <w:rFonts w:ascii="Arial" w:hAnsi="Arial" w:cs="Arial"/>
        </w:rPr>
        <w:t>Fabio Bortoluzzi</w:t>
      </w:r>
      <w:r>
        <w:rPr>
          <w:rFonts w:ascii="Arial" w:hAnsi="Arial" w:cs="Arial"/>
        </w:rPr>
        <w:t xml:space="preserve">_, doravante denominada simplesmente de </w:t>
      </w:r>
      <w:r>
        <w:rPr>
          <w:rFonts w:ascii="Arial" w:hAnsi="Arial" w:cs="Arial"/>
          <w:b/>
          <w:bCs/>
        </w:rPr>
        <w:t>FORNECEDORA</w:t>
      </w:r>
      <w:r>
        <w:rPr>
          <w:rFonts w:ascii="Arial" w:hAnsi="Arial" w:cs="Arial"/>
        </w:rPr>
        <w:t xml:space="preserve"> para fornecimento do objeto descrito abaixo, em conformidade com o processo de licitação na modalidade Pregão Presencial nº 063/2019 – Registro de Preços, homologado em data de</w:t>
      </w:r>
      <w:r>
        <w:rPr>
          <w:rFonts w:ascii="Arial" w:hAnsi="Arial" w:cs="Arial"/>
        </w:rPr>
        <w:t xml:space="preserve"> 08</w:t>
      </w:r>
      <w:r>
        <w:rPr>
          <w:rFonts w:ascii="Arial" w:hAnsi="Arial" w:cs="Arial"/>
        </w:rPr>
        <w:t xml:space="preserve"> de </w:t>
      </w:r>
      <w:r>
        <w:rPr>
          <w:rFonts w:ascii="Arial" w:hAnsi="Arial" w:cs="Arial"/>
        </w:rPr>
        <w:t>julho</w:t>
      </w:r>
      <w:r>
        <w:rPr>
          <w:rFonts w:ascii="Arial" w:hAnsi="Arial" w:cs="Arial"/>
        </w:rPr>
        <w:t xml:space="preserve"> de 2019, na forma e condições estabelecidas nas cláusulas seguintes:</w:t>
      </w:r>
    </w:p>
    <w:p w:rsidR="00F2672E" w:rsidRPr="002D43B2" w:rsidRDefault="00F2672E" w:rsidP="00F2672E">
      <w:pPr>
        <w:autoSpaceDE/>
        <w:jc w:val="both"/>
      </w:pPr>
    </w:p>
    <w:p w:rsidR="00F2672E" w:rsidRDefault="00F2672E" w:rsidP="00F2672E">
      <w:pPr>
        <w:autoSpaceDE/>
        <w:rPr>
          <w:rFonts w:ascii="Arial" w:hAnsi="Arial" w:cs="Arial"/>
          <w:b/>
          <w:sz w:val="24"/>
          <w:szCs w:val="24"/>
        </w:rPr>
      </w:pPr>
      <w:r>
        <w:rPr>
          <w:rFonts w:ascii="Arial" w:hAnsi="Arial" w:cs="Arial"/>
          <w:b/>
          <w:sz w:val="24"/>
          <w:szCs w:val="24"/>
        </w:rPr>
        <w:t>CLÁUSULA PRIMEIRA – DO OBJETO E PREÇO</w:t>
      </w:r>
    </w:p>
    <w:p w:rsidR="00F2672E" w:rsidRDefault="00F2672E" w:rsidP="00F2672E">
      <w:pPr>
        <w:autoSpaceDE/>
        <w:rPr>
          <w:rFonts w:ascii="Arial" w:hAnsi="Arial" w:cs="Arial"/>
          <w:b/>
          <w:sz w:val="24"/>
          <w:szCs w:val="24"/>
        </w:rPr>
      </w:pPr>
    </w:p>
    <w:p w:rsidR="00F2672E" w:rsidRDefault="00F2672E" w:rsidP="00F2672E">
      <w:pPr>
        <w:tabs>
          <w:tab w:val="left" w:pos="0"/>
        </w:tabs>
        <w:ind w:right="-1"/>
        <w:jc w:val="both"/>
        <w:rPr>
          <w:rFonts w:ascii="Arial" w:hAnsi="Arial" w:cs="Arial"/>
          <w:sz w:val="24"/>
          <w:szCs w:val="24"/>
        </w:rPr>
      </w:pPr>
      <w:r>
        <w:rPr>
          <w:rFonts w:ascii="Arial" w:hAnsi="Arial" w:cs="Arial"/>
          <w:sz w:val="24"/>
          <w:szCs w:val="24"/>
        </w:rPr>
        <w:t xml:space="preserve">1.1. O objeto da presente ATA é o Registro de Preço para fornecimento de GÁS OXIGÊNIO PARA USO HUMANO MEDICINAL para a Secretaria Municipal de Saúde, constantes da proposta de preço referente Edital de Pregão Presencial nº N.063/2019 e anexos. </w:t>
      </w:r>
    </w:p>
    <w:p w:rsidR="00F2672E" w:rsidRDefault="00F2672E" w:rsidP="00F2672E">
      <w:pPr>
        <w:autoSpaceDE/>
        <w:jc w:val="both"/>
        <w:rPr>
          <w:rFonts w:ascii="Arial" w:eastAsia="Batang;바탕" w:hAnsi="Arial" w:cs="Arial"/>
          <w:b/>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1.2 O preço registrado e o fornecedor do produto são os constantes da tabela abaixo:</w:t>
      </w:r>
    </w:p>
    <w:p w:rsidR="00F2672E" w:rsidRDefault="00F2672E" w:rsidP="00F2672E">
      <w:pPr>
        <w:autoSpaceDE/>
        <w:jc w:val="both"/>
        <w:rPr>
          <w:rFonts w:ascii="Arial" w:hAnsi="Arial" w:cs="Arial"/>
          <w:sz w:val="24"/>
          <w:szCs w:val="24"/>
        </w:rPr>
      </w:pPr>
    </w:p>
    <w:tbl>
      <w:tblPr>
        <w:tblW w:w="10110" w:type="dxa"/>
        <w:tblInd w:w="-8" w:type="dxa"/>
        <w:tblBorders>
          <w:top w:val="single" w:sz="6" w:space="0" w:color="000000"/>
          <w:left w:val="single" w:sz="6" w:space="0" w:color="000000"/>
          <w:bottom w:val="single" w:sz="6" w:space="0" w:color="000000"/>
          <w:insideH w:val="single" w:sz="6" w:space="0" w:color="000000"/>
        </w:tblBorders>
        <w:tblCellMar>
          <w:left w:w="100" w:type="dxa"/>
        </w:tblCellMar>
        <w:tblLook w:val="0000" w:firstRow="0" w:lastRow="0" w:firstColumn="0" w:lastColumn="0" w:noHBand="0" w:noVBand="0"/>
      </w:tblPr>
      <w:tblGrid>
        <w:gridCol w:w="709"/>
        <w:gridCol w:w="1417"/>
        <w:gridCol w:w="1843"/>
        <w:gridCol w:w="1276"/>
        <w:gridCol w:w="3119"/>
        <w:gridCol w:w="1746"/>
      </w:tblGrid>
      <w:tr w:rsidR="00F2672E" w:rsidTr="004D37AC">
        <w:trPr>
          <w:trHeight w:val="366"/>
        </w:trPr>
        <w:tc>
          <w:tcPr>
            <w:tcW w:w="709" w:type="dxa"/>
            <w:tcBorders>
              <w:top w:val="single" w:sz="6" w:space="0" w:color="000000"/>
              <w:left w:val="single" w:sz="6" w:space="0" w:color="000000"/>
              <w:bottom w:val="single" w:sz="6" w:space="0" w:color="000000"/>
            </w:tcBorders>
            <w:shd w:val="clear" w:color="auto" w:fill="C0C0C0"/>
            <w:tcMar>
              <w:left w:w="100" w:type="dxa"/>
            </w:tcMar>
          </w:tcPr>
          <w:p w:rsidR="00F2672E" w:rsidRDefault="00F2672E" w:rsidP="0013034C">
            <w:pPr>
              <w:jc w:val="center"/>
              <w:rPr>
                <w:rFonts w:ascii="Arial" w:eastAsia="Arial" w:hAnsi="Arial" w:cs="Arial"/>
                <w:b/>
                <w:bCs/>
                <w:color w:val="000000"/>
              </w:rPr>
            </w:pPr>
            <w:r>
              <w:rPr>
                <w:rFonts w:ascii="Arial" w:eastAsia="Arial" w:hAnsi="Arial" w:cs="Arial"/>
                <w:b/>
                <w:bCs/>
                <w:color w:val="000000"/>
              </w:rPr>
              <w:t>Item</w:t>
            </w:r>
          </w:p>
        </w:tc>
        <w:tc>
          <w:tcPr>
            <w:tcW w:w="1417" w:type="dxa"/>
            <w:tcBorders>
              <w:top w:val="single" w:sz="6" w:space="0" w:color="000000"/>
              <w:left w:val="single" w:sz="6" w:space="0" w:color="000000"/>
              <w:bottom w:val="single" w:sz="6" w:space="0" w:color="000000"/>
            </w:tcBorders>
            <w:shd w:val="clear" w:color="auto" w:fill="C0C0C0"/>
            <w:tcMar>
              <w:left w:w="100" w:type="dxa"/>
            </w:tcMar>
          </w:tcPr>
          <w:p w:rsidR="00F2672E" w:rsidRDefault="00F2672E" w:rsidP="0013034C">
            <w:pPr>
              <w:jc w:val="center"/>
              <w:rPr>
                <w:rFonts w:ascii="Arial" w:eastAsia="Arial" w:hAnsi="Arial" w:cs="Arial"/>
                <w:b/>
                <w:bCs/>
                <w:color w:val="000000"/>
              </w:rPr>
            </w:pPr>
            <w:r>
              <w:rPr>
                <w:rFonts w:ascii="Arial" w:eastAsia="Arial" w:hAnsi="Arial" w:cs="Arial"/>
                <w:b/>
                <w:bCs/>
                <w:color w:val="000000"/>
              </w:rPr>
              <w:t>Capacidade do cilindro</w:t>
            </w:r>
          </w:p>
        </w:tc>
        <w:tc>
          <w:tcPr>
            <w:tcW w:w="1843" w:type="dxa"/>
            <w:tcBorders>
              <w:top w:val="single" w:sz="6" w:space="0" w:color="000000"/>
              <w:left w:val="single" w:sz="6" w:space="0" w:color="000000"/>
              <w:bottom w:val="single" w:sz="6" w:space="0" w:color="000000"/>
            </w:tcBorders>
            <w:shd w:val="clear" w:color="auto" w:fill="C0C0C0"/>
            <w:tcMar>
              <w:left w:w="100" w:type="dxa"/>
            </w:tcMar>
          </w:tcPr>
          <w:p w:rsidR="00F2672E" w:rsidRDefault="00F2672E" w:rsidP="0013034C">
            <w:pPr>
              <w:jc w:val="center"/>
              <w:rPr>
                <w:rFonts w:ascii="Arial" w:eastAsia="Arial" w:hAnsi="Arial" w:cs="Arial"/>
                <w:b/>
                <w:bCs/>
                <w:color w:val="000000"/>
              </w:rPr>
            </w:pPr>
            <w:r>
              <w:rPr>
                <w:rFonts w:ascii="Arial" w:eastAsia="Arial" w:hAnsi="Arial" w:cs="Arial"/>
                <w:b/>
                <w:bCs/>
                <w:color w:val="000000"/>
              </w:rPr>
              <w:t>Produto</w:t>
            </w:r>
          </w:p>
        </w:tc>
        <w:tc>
          <w:tcPr>
            <w:tcW w:w="1276" w:type="dxa"/>
            <w:tcBorders>
              <w:top w:val="single" w:sz="6" w:space="0" w:color="000000"/>
              <w:left w:val="single" w:sz="6" w:space="0" w:color="000000"/>
              <w:bottom w:val="single" w:sz="6" w:space="0" w:color="000000"/>
            </w:tcBorders>
            <w:shd w:val="clear" w:color="auto" w:fill="C0C0C0"/>
            <w:tcMar>
              <w:left w:w="100" w:type="dxa"/>
            </w:tcMar>
          </w:tcPr>
          <w:p w:rsidR="00F2672E" w:rsidRDefault="00F2672E" w:rsidP="0013034C">
            <w:pPr>
              <w:jc w:val="center"/>
              <w:rPr>
                <w:rFonts w:ascii="Arial" w:eastAsia="Arial" w:hAnsi="Arial" w:cs="Arial"/>
                <w:b/>
                <w:bCs/>
                <w:color w:val="000000"/>
              </w:rPr>
            </w:pPr>
            <w:r>
              <w:rPr>
                <w:rFonts w:ascii="Arial" w:eastAsia="Arial" w:hAnsi="Arial" w:cs="Arial"/>
                <w:b/>
                <w:bCs/>
                <w:color w:val="000000"/>
              </w:rPr>
              <w:t>MARCA/</w:t>
            </w:r>
          </w:p>
          <w:p w:rsidR="00F2672E" w:rsidRDefault="00F2672E" w:rsidP="0013034C">
            <w:pPr>
              <w:jc w:val="center"/>
              <w:rPr>
                <w:rFonts w:ascii="Arial" w:eastAsia="Arial" w:hAnsi="Arial" w:cs="Arial"/>
                <w:b/>
                <w:bCs/>
                <w:color w:val="000000"/>
              </w:rPr>
            </w:pPr>
            <w:r>
              <w:rPr>
                <w:rFonts w:ascii="Arial" w:eastAsia="Arial" w:hAnsi="Arial" w:cs="Arial"/>
                <w:b/>
                <w:bCs/>
                <w:color w:val="000000"/>
              </w:rPr>
              <w:t>FABRI-CANTE</w:t>
            </w:r>
          </w:p>
        </w:tc>
        <w:tc>
          <w:tcPr>
            <w:tcW w:w="3119" w:type="dxa"/>
            <w:tcBorders>
              <w:top w:val="single" w:sz="6" w:space="0" w:color="000000"/>
              <w:left w:val="single" w:sz="6" w:space="0" w:color="000000"/>
              <w:bottom w:val="single" w:sz="6" w:space="0" w:color="000000"/>
            </w:tcBorders>
            <w:shd w:val="clear" w:color="auto" w:fill="C0C0C0"/>
            <w:tcMar>
              <w:left w:w="100" w:type="dxa"/>
            </w:tcMar>
          </w:tcPr>
          <w:p w:rsidR="00F2672E" w:rsidRDefault="00F2672E" w:rsidP="0013034C">
            <w:pPr>
              <w:jc w:val="center"/>
              <w:rPr>
                <w:rFonts w:ascii="Arial" w:eastAsia="Arial" w:hAnsi="Arial" w:cs="Arial"/>
                <w:b/>
                <w:bCs/>
                <w:color w:val="000000"/>
              </w:rPr>
            </w:pPr>
            <w:r>
              <w:rPr>
                <w:rFonts w:ascii="Arial" w:eastAsia="Arial" w:hAnsi="Arial" w:cs="Arial"/>
                <w:b/>
                <w:bCs/>
                <w:color w:val="000000"/>
              </w:rPr>
              <w:t>LICITANTE VENCEDOR – RAZÃO SOCIAL/CNPJ/MF</w:t>
            </w:r>
          </w:p>
        </w:tc>
        <w:tc>
          <w:tcPr>
            <w:tcW w:w="1746" w:type="dxa"/>
            <w:tcBorders>
              <w:top w:val="single" w:sz="6" w:space="0" w:color="000000"/>
              <w:left w:val="single" w:sz="6" w:space="0" w:color="000000"/>
              <w:bottom w:val="single" w:sz="6" w:space="0" w:color="000000"/>
              <w:right w:val="single" w:sz="6" w:space="0" w:color="000000"/>
            </w:tcBorders>
            <w:shd w:val="clear" w:color="auto" w:fill="C0C0C0"/>
            <w:tcMar>
              <w:left w:w="100" w:type="dxa"/>
            </w:tcMar>
          </w:tcPr>
          <w:p w:rsidR="00F2672E" w:rsidRDefault="00F2672E" w:rsidP="0013034C">
            <w:pPr>
              <w:jc w:val="center"/>
              <w:rPr>
                <w:rFonts w:ascii="Arial" w:eastAsia="Arial" w:hAnsi="Arial" w:cs="Arial"/>
                <w:b/>
                <w:bCs/>
                <w:color w:val="000000"/>
              </w:rPr>
            </w:pPr>
            <w:r>
              <w:rPr>
                <w:rFonts w:ascii="Arial" w:eastAsia="Arial" w:hAnsi="Arial" w:cs="Arial"/>
                <w:b/>
                <w:bCs/>
                <w:color w:val="000000"/>
              </w:rPr>
              <w:t>PREÇO UNITÁRIO EM R$</w:t>
            </w:r>
          </w:p>
        </w:tc>
      </w:tr>
      <w:tr w:rsidR="00F2672E" w:rsidTr="004D37AC">
        <w:tc>
          <w:tcPr>
            <w:tcW w:w="709" w:type="dxa"/>
            <w:tcBorders>
              <w:top w:val="single" w:sz="6" w:space="0" w:color="000000"/>
              <w:left w:val="single" w:sz="6" w:space="0" w:color="000000"/>
              <w:bottom w:val="single" w:sz="6" w:space="0" w:color="000000"/>
            </w:tcBorders>
            <w:shd w:val="clear" w:color="auto" w:fill="auto"/>
            <w:tcMar>
              <w:left w:w="100" w:type="dxa"/>
            </w:tcMar>
          </w:tcPr>
          <w:p w:rsidR="00F2672E" w:rsidRDefault="00F2672E" w:rsidP="0013034C">
            <w:pPr>
              <w:jc w:val="center"/>
              <w:rPr>
                <w:rFonts w:ascii="Arial" w:eastAsia="Calibri" w:hAnsi="Arial" w:cs="Arial"/>
              </w:rPr>
            </w:pPr>
            <w:r>
              <w:rPr>
                <w:rFonts w:ascii="Arial" w:eastAsia="Calibri" w:hAnsi="Arial" w:cs="Arial"/>
              </w:rPr>
              <w:t>01</w:t>
            </w:r>
          </w:p>
        </w:tc>
        <w:tc>
          <w:tcPr>
            <w:tcW w:w="1417" w:type="dxa"/>
            <w:tcBorders>
              <w:top w:val="single" w:sz="6" w:space="0" w:color="000000"/>
              <w:left w:val="single" w:sz="6" w:space="0" w:color="000000"/>
              <w:bottom w:val="single" w:sz="6" w:space="0" w:color="000000"/>
            </w:tcBorders>
            <w:shd w:val="clear" w:color="auto" w:fill="auto"/>
            <w:tcMar>
              <w:left w:w="100" w:type="dxa"/>
            </w:tcMar>
          </w:tcPr>
          <w:p w:rsidR="00F2672E" w:rsidRDefault="00F2672E" w:rsidP="0013034C">
            <w:pPr>
              <w:jc w:val="center"/>
              <w:rPr>
                <w:rFonts w:ascii="Arial" w:hAnsi="Arial" w:cs="Arial"/>
              </w:rPr>
            </w:pPr>
            <w:r>
              <w:rPr>
                <w:rFonts w:ascii="Arial" w:hAnsi="Arial" w:cs="Arial"/>
              </w:rPr>
              <w:t>6M³</w:t>
            </w:r>
          </w:p>
        </w:tc>
        <w:tc>
          <w:tcPr>
            <w:tcW w:w="1843" w:type="dxa"/>
            <w:tcBorders>
              <w:top w:val="single" w:sz="6" w:space="0" w:color="000000"/>
              <w:left w:val="single" w:sz="6" w:space="0" w:color="000000"/>
              <w:bottom w:val="single" w:sz="6" w:space="0" w:color="000000"/>
            </w:tcBorders>
            <w:shd w:val="clear" w:color="auto" w:fill="auto"/>
            <w:tcMar>
              <w:left w:w="100" w:type="dxa"/>
            </w:tcMar>
          </w:tcPr>
          <w:p w:rsidR="00F2672E" w:rsidRDefault="00F2672E" w:rsidP="0013034C">
            <w:pPr>
              <w:jc w:val="both"/>
              <w:rPr>
                <w:rFonts w:ascii="Arial" w:hAnsi="Arial" w:cs="Arial"/>
              </w:rPr>
            </w:pPr>
            <w:r>
              <w:rPr>
                <w:rFonts w:ascii="Arial" w:hAnsi="Arial" w:cs="Arial"/>
              </w:rPr>
              <w:t>Gás Oxigênio para uso humano (medicinal)</w:t>
            </w:r>
          </w:p>
        </w:tc>
        <w:tc>
          <w:tcPr>
            <w:tcW w:w="1276" w:type="dxa"/>
            <w:tcBorders>
              <w:top w:val="single" w:sz="6" w:space="0" w:color="000000"/>
              <w:left w:val="single" w:sz="6" w:space="0" w:color="000000"/>
              <w:bottom w:val="single" w:sz="6" w:space="0" w:color="000000"/>
            </w:tcBorders>
            <w:shd w:val="clear" w:color="auto" w:fill="auto"/>
            <w:tcMar>
              <w:left w:w="100" w:type="dxa"/>
            </w:tcMar>
          </w:tcPr>
          <w:p w:rsidR="00F2672E" w:rsidRDefault="004D37AC" w:rsidP="0013034C">
            <w:pPr>
              <w:snapToGrid w:val="0"/>
              <w:jc w:val="both"/>
              <w:rPr>
                <w:rFonts w:ascii="Arial" w:hAnsi="Arial" w:cs="Arial"/>
              </w:rPr>
            </w:pPr>
            <w:r>
              <w:rPr>
                <w:rFonts w:ascii="Arial" w:hAnsi="Arial" w:cs="Arial"/>
              </w:rPr>
              <w:t>Nandis</w:t>
            </w:r>
          </w:p>
        </w:tc>
        <w:tc>
          <w:tcPr>
            <w:tcW w:w="3119" w:type="dxa"/>
            <w:tcBorders>
              <w:top w:val="single" w:sz="6" w:space="0" w:color="000000"/>
              <w:left w:val="single" w:sz="6" w:space="0" w:color="000000"/>
              <w:bottom w:val="single" w:sz="6" w:space="0" w:color="000000"/>
            </w:tcBorders>
            <w:shd w:val="clear" w:color="auto" w:fill="auto"/>
            <w:tcMar>
              <w:left w:w="100" w:type="dxa"/>
            </w:tcMar>
          </w:tcPr>
          <w:p w:rsidR="00F2672E" w:rsidRDefault="004D37AC" w:rsidP="0013034C">
            <w:pPr>
              <w:snapToGrid w:val="0"/>
              <w:jc w:val="both"/>
              <w:rPr>
                <w:rFonts w:ascii="Arial" w:hAnsi="Arial" w:cs="Arial"/>
              </w:rPr>
            </w:pPr>
            <w:r>
              <w:rPr>
                <w:rFonts w:ascii="Arial" w:hAnsi="Arial" w:cs="Arial"/>
              </w:rPr>
              <w:t xml:space="preserve">Nandis Comercio De Gases Atmosféricos ltda EPP </w:t>
            </w:r>
          </w:p>
          <w:p w:rsidR="004D37AC" w:rsidRDefault="004D37AC" w:rsidP="0013034C">
            <w:pPr>
              <w:snapToGrid w:val="0"/>
              <w:jc w:val="both"/>
              <w:rPr>
                <w:rFonts w:ascii="Arial" w:hAnsi="Arial" w:cs="Arial"/>
              </w:rPr>
            </w:pPr>
            <w:r>
              <w:rPr>
                <w:rFonts w:ascii="Arial" w:hAnsi="Arial" w:cs="Arial"/>
              </w:rPr>
              <w:t>CNPJ 01.959.495/0001-43</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left w:w="100" w:type="dxa"/>
            </w:tcMar>
          </w:tcPr>
          <w:p w:rsidR="00F2672E" w:rsidRDefault="00DA78FA" w:rsidP="0013034C">
            <w:pPr>
              <w:snapToGrid w:val="0"/>
              <w:jc w:val="both"/>
              <w:rPr>
                <w:rFonts w:ascii="Arial" w:hAnsi="Arial" w:cs="Arial"/>
              </w:rPr>
            </w:pPr>
            <w:r>
              <w:rPr>
                <w:rFonts w:ascii="Arial" w:hAnsi="Arial" w:cs="Arial"/>
              </w:rPr>
              <w:t>200,00</w:t>
            </w:r>
          </w:p>
        </w:tc>
      </w:tr>
      <w:tr w:rsidR="004D37AC" w:rsidTr="004D37AC">
        <w:tc>
          <w:tcPr>
            <w:tcW w:w="709"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jc w:val="center"/>
              <w:rPr>
                <w:rFonts w:ascii="Arial" w:eastAsia="Arial" w:hAnsi="Arial" w:cs="Arial"/>
                <w:color w:val="000000"/>
              </w:rPr>
            </w:pPr>
            <w:r>
              <w:rPr>
                <w:rFonts w:ascii="Arial" w:eastAsia="Arial" w:hAnsi="Arial" w:cs="Arial"/>
                <w:color w:val="000000"/>
              </w:rPr>
              <w:t>02</w:t>
            </w:r>
          </w:p>
        </w:tc>
        <w:tc>
          <w:tcPr>
            <w:tcW w:w="1417"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jc w:val="center"/>
              <w:rPr>
                <w:rFonts w:ascii="Arial" w:eastAsia="Arial" w:hAnsi="Arial" w:cs="Arial"/>
                <w:color w:val="000000"/>
              </w:rPr>
            </w:pPr>
            <w:r>
              <w:rPr>
                <w:rFonts w:ascii="Arial" w:eastAsia="Arial" w:hAnsi="Arial" w:cs="Arial"/>
                <w:color w:val="000000"/>
              </w:rPr>
              <w:t>3M³</w:t>
            </w:r>
          </w:p>
        </w:tc>
        <w:tc>
          <w:tcPr>
            <w:tcW w:w="1843"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jc w:val="both"/>
              <w:rPr>
                <w:rFonts w:ascii="Arial" w:hAnsi="Arial" w:cs="Arial"/>
              </w:rPr>
            </w:pPr>
            <w:r>
              <w:rPr>
                <w:rFonts w:ascii="Arial" w:hAnsi="Arial" w:cs="Arial"/>
              </w:rPr>
              <w:t>Gás Oxigênio para uso humano (medicinal)</w:t>
            </w:r>
          </w:p>
        </w:tc>
        <w:tc>
          <w:tcPr>
            <w:tcW w:w="1276"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snapToGrid w:val="0"/>
              <w:jc w:val="both"/>
              <w:rPr>
                <w:rFonts w:ascii="Arial" w:hAnsi="Arial" w:cs="Arial"/>
              </w:rPr>
            </w:pPr>
            <w:r>
              <w:rPr>
                <w:rFonts w:ascii="Arial" w:hAnsi="Arial" w:cs="Arial"/>
              </w:rPr>
              <w:t>Nandis</w:t>
            </w:r>
          </w:p>
        </w:tc>
        <w:tc>
          <w:tcPr>
            <w:tcW w:w="3119"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snapToGrid w:val="0"/>
              <w:jc w:val="both"/>
              <w:rPr>
                <w:rFonts w:ascii="Arial" w:hAnsi="Arial" w:cs="Arial"/>
              </w:rPr>
            </w:pPr>
            <w:r>
              <w:rPr>
                <w:rFonts w:ascii="Arial" w:hAnsi="Arial" w:cs="Arial"/>
              </w:rPr>
              <w:t xml:space="preserve">Nandis Comercio De Gases Atmosféricos ltda EPP </w:t>
            </w:r>
          </w:p>
          <w:p w:rsidR="004D37AC" w:rsidRDefault="004D37AC" w:rsidP="004D37AC">
            <w:pPr>
              <w:snapToGrid w:val="0"/>
              <w:jc w:val="both"/>
              <w:rPr>
                <w:rFonts w:ascii="Arial" w:hAnsi="Arial" w:cs="Arial"/>
              </w:rPr>
            </w:pPr>
            <w:r>
              <w:rPr>
                <w:rFonts w:ascii="Arial" w:hAnsi="Arial" w:cs="Arial"/>
              </w:rPr>
              <w:t>CNPJ 01.959.495/0001-43</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left w:w="100" w:type="dxa"/>
            </w:tcMar>
          </w:tcPr>
          <w:p w:rsidR="004D37AC" w:rsidRDefault="00DA78FA" w:rsidP="004D37AC">
            <w:pPr>
              <w:snapToGrid w:val="0"/>
              <w:jc w:val="both"/>
              <w:rPr>
                <w:rFonts w:ascii="Arial" w:eastAsia="Arial" w:hAnsi="Arial" w:cs="Arial"/>
                <w:color w:val="000000"/>
              </w:rPr>
            </w:pPr>
            <w:r>
              <w:rPr>
                <w:rFonts w:ascii="Arial" w:eastAsia="Arial" w:hAnsi="Arial" w:cs="Arial"/>
                <w:color w:val="000000"/>
              </w:rPr>
              <w:t>165,00</w:t>
            </w:r>
          </w:p>
        </w:tc>
      </w:tr>
      <w:tr w:rsidR="004D37AC" w:rsidTr="004D37AC">
        <w:tc>
          <w:tcPr>
            <w:tcW w:w="709"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jc w:val="center"/>
              <w:rPr>
                <w:rFonts w:ascii="Arial" w:eastAsia="Arial" w:hAnsi="Arial" w:cs="Arial"/>
                <w:color w:val="000000"/>
              </w:rPr>
            </w:pPr>
            <w:r>
              <w:rPr>
                <w:rFonts w:ascii="Arial" w:eastAsia="Arial" w:hAnsi="Arial" w:cs="Arial"/>
                <w:color w:val="000000"/>
              </w:rPr>
              <w:t>03</w:t>
            </w:r>
          </w:p>
        </w:tc>
        <w:tc>
          <w:tcPr>
            <w:tcW w:w="1417"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jc w:val="center"/>
              <w:rPr>
                <w:rFonts w:ascii="Arial" w:eastAsia="Arial" w:hAnsi="Arial" w:cs="Arial"/>
                <w:color w:val="000000"/>
              </w:rPr>
            </w:pPr>
            <w:r>
              <w:rPr>
                <w:rFonts w:ascii="Arial" w:eastAsia="Arial" w:hAnsi="Arial" w:cs="Arial"/>
                <w:color w:val="000000"/>
              </w:rPr>
              <w:t>1M³</w:t>
            </w:r>
          </w:p>
        </w:tc>
        <w:tc>
          <w:tcPr>
            <w:tcW w:w="1843"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jc w:val="both"/>
              <w:rPr>
                <w:rFonts w:ascii="Arial" w:hAnsi="Arial" w:cs="Arial"/>
              </w:rPr>
            </w:pPr>
            <w:r>
              <w:rPr>
                <w:rFonts w:ascii="Arial" w:hAnsi="Arial" w:cs="Arial"/>
              </w:rPr>
              <w:t>Gás Oxigênio para uso humano (medicinal)</w:t>
            </w:r>
          </w:p>
        </w:tc>
        <w:tc>
          <w:tcPr>
            <w:tcW w:w="1276"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snapToGrid w:val="0"/>
              <w:jc w:val="both"/>
              <w:rPr>
                <w:rFonts w:ascii="Arial" w:hAnsi="Arial" w:cs="Arial"/>
              </w:rPr>
            </w:pPr>
            <w:r>
              <w:rPr>
                <w:rFonts w:ascii="Arial" w:hAnsi="Arial" w:cs="Arial"/>
              </w:rPr>
              <w:t>Nandis</w:t>
            </w:r>
          </w:p>
        </w:tc>
        <w:tc>
          <w:tcPr>
            <w:tcW w:w="3119" w:type="dxa"/>
            <w:tcBorders>
              <w:top w:val="single" w:sz="6" w:space="0" w:color="000000"/>
              <w:left w:val="single" w:sz="6" w:space="0" w:color="000000"/>
              <w:bottom w:val="single" w:sz="6" w:space="0" w:color="000000"/>
            </w:tcBorders>
            <w:shd w:val="clear" w:color="auto" w:fill="auto"/>
            <w:tcMar>
              <w:left w:w="100" w:type="dxa"/>
            </w:tcMar>
          </w:tcPr>
          <w:p w:rsidR="004D37AC" w:rsidRDefault="004D37AC" w:rsidP="004D37AC">
            <w:pPr>
              <w:snapToGrid w:val="0"/>
              <w:jc w:val="both"/>
              <w:rPr>
                <w:rFonts w:ascii="Arial" w:hAnsi="Arial" w:cs="Arial"/>
              </w:rPr>
            </w:pPr>
            <w:r>
              <w:rPr>
                <w:rFonts w:ascii="Arial" w:hAnsi="Arial" w:cs="Arial"/>
              </w:rPr>
              <w:t xml:space="preserve">Nandis Comercio De Gases Atmosféricos ltda EPP </w:t>
            </w:r>
          </w:p>
          <w:p w:rsidR="004D37AC" w:rsidRDefault="004D37AC" w:rsidP="004D37AC">
            <w:pPr>
              <w:snapToGrid w:val="0"/>
              <w:jc w:val="both"/>
              <w:rPr>
                <w:rFonts w:ascii="Arial" w:hAnsi="Arial" w:cs="Arial"/>
              </w:rPr>
            </w:pPr>
            <w:r>
              <w:rPr>
                <w:rFonts w:ascii="Arial" w:hAnsi="Arial" w:cs="Arial"/>
              </w:rPr>
              <w:t>CNPJ 01.959.495/0001-43</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left w:w="100" w:type="dxa"/>
            </w:tcMar>
          </w:tcPr>
          <w:p w:rsidR="004D37AC" w:rsidRDefault="00DA78FA" w:rsidP="004D37AC">
            <w:pPr>
              <w:snapToGrid w:val="0"/>
              <w:jc w:val="both"/>
              <w:rPr>
                <w:rFonts w:ascii="Arial" w:eastAsia="Arial" w:hAnsi="Arial" w:cs="Arial"/>
                <w:color w:val="000000"/>
              </w:rPr>
            </w:pPr>
            <w:r>
              <w:rPr>
                <w:rFonts w:ascii="Arial" w:eastAsia="Arial" w:hAnsi="Arial" w:cs="Arial"/>
                <w:color w:val="000000"/>
              </w:rPr>
              <w:t>130,00</w:t>
            </w:r>
          </w:p>
        </w:tc>
      </w:tr>
    </w:tbl>
    <w:p w:rsidR="00F2672E" w:rsidRDefault="00F2672E" w:rsidP="00F2672E">
      <w:pPr>
        <w:autoSpaceDE/>
        <w:jc w:val="both"/>
        <w:rPr>
          <w:rFonts w:ascii="Arial" w:hAnsi="Arial" w:cs="Arial"/>
          <w:sz w:val="24"/>
          <w:szCs w:val="24"/>
          <w:u w:val="single"/>
        </w:rPr>
      </w:pPr>
    </w:p>
    <w:p w:rsidR="00F2672E" w:rsidRDefault="00F2672E" w:rsidP="00F2672E">
      <w:pPr>
        <w:autoSpaceDE/>
        <w:jc w:val="both"/>
      </w:pPr>
      <w:r>
        <w:rPr>
          <w:rFonts w:ascii="Arial" w:hAnsi="Arial" w:cs="Arial"/>
          <w:color w:val="000000"/>
          <w:sz w:val="24"/>
          <w:szCs w:val="24"/>
          <w:u w:val="single"/>
        </w:rPr>
        <w:t>PARÁGRAFO ÚNICO:</w:t>
      </w:r>
      <w:r>
        <w:rPr>
          <w:rFonts w:ascii="Arial" w:hAnsi="Arial" w:cs="Arial"/>
          <w:color w:val="000000"/>
          <w:sz w:val="24"/>
          <w:szCs w:val="24"/>
        </w:rPr>
        <w:t xml:space="preserve"> o pagamento será de acordo com a quantidade de produto fornecido. As despesas com deslocamento, materiais a serem utilizadas no fornecimento do produto e demais despesas e encargos deverão estar inclusas no valor cotado.</w:t>
      </w:r>
    </w:p>
    <w:p w:rsidR="00F2672E" w:rsidRDefault="00F2672E" w:rsidP="00F2672E">
      <w:pPr>
        <w:autoSpaceDE/>
        <w:rPr>
          <w:rFonts w:ascii="Arial" w:hAnsi="Arial" w:cs="Arial"/>
          <w:color w:val="000000"/>
          <w:sz w:val="24"/>
          <w:szCs w:val="24"/>
        </w:rPr>
      </w:pPr>
    </w:p>
    <w:p w:rsidR="00F2672E" w:rsidRDefault="00F2672E" w:rsidP="00F2672E">
      <w:pPr>
        <w:autoSpaceDE/>
        <w:jc w:val="both"/>
      </w:pPr>
      <w:r>
        <w:rPr>
          <w:rFonts w:ascii="Arial" w:hAnsi="Arial" w:cs="Arial"/>
          <w:color w:val="000000"/>
          <w:sz w:val="24"/>
          <w:szCs w:val="24"/>
        </w:rPr>
        <w:t>Parágrafo único: A presente ATA de Registro de Preços constitui-se documento vinculativo</w:t>
      </w:r>
      <w:r>
        <w:rPr>
          <w:rFonts w:ascii="Arial" w:hAnsi="Arial" w:cs="Arial"/>
          <w:sz w:val="24"/>
          <w:szCs w:val="24"/>
        </w:rPr>
        <w:t xml:space="preserve"> e obrigacional às partes, com característica de compromisso para futura contratação.</w:t>
      </w:r>
    </w:p>
    <w:p w:rsidR="00F2672E" w:rsidRDefault="00F2672E" w:rsidP="00F2672E">
      <w:pPr>
        <w:autoSpaceDE/>
        <w:rPr>
          <w:rFonts w:ascii="Arial" w:hAnsi="Arial" w:cs="Arial"/>
          <w:sz w:val="24"/>
          <w:szCs w:val="24"/>
        </w:rPr>
      </w:pPr>
    </w:p>
    <w:p w:rsidR="00F2672E" w:rsidRDefault="00F2672E" w:rsidP="00F2672E">
      <w:pPr>
        <w:autoSpaceDE/>
        <w:rPr>
          <w:rFonts w:ascii="Arial" w:hAnsi="Arial" w:cs="Arial"/>
          <w:b/>
          <w:sz w:val="24"/>
          <w:szCs w:val="24"/>
        </w:rPr>
      </w:pPr>
      <w:r>
        <w:rPr>
          <w:rFonts w:ascii="Arial" w:hAnsi="Arial" w:cs="Arial"/>
          <w:b/>
          <w:sz w:val="24"/>
          <w:szCs w:val="24"/>
        </w:rPr>
        <w:t>CLÁUSULA SEGUNDA - DO REAJUSTE DE PREÇOS</w:t>
      </w:r>
    </w:p>
    <w:p w:rsidR="00F2672E" w:rsidRDefault="00F2672E" w:rsidP="00F2672E">
      <w:pPr>
        <w:autoSpaceDE/>
        <w:jc w:val="both"/>
        <w:rPr>
          <w:rFonts w:ascii="Arial" w:hAnsi="Arial" w:cs="Arial"/>
          <w:b/>
          <w:sz w:val="24"/>
          <w:szCs w:val="24"/>
        </w:rPr>
      </w:pPr>
    </w:p>
    <w:p w:rsidR="00F2672E" w:rsidRDefault="00F2672E" w:rsidP="00F2672E">
      <w:pPr>
        <w:tabs>
          <w:tab w:val="left" w:pos="993"/>
        </w:tabs>
        <w:jc w:val="both"/>
      </w:pPr>
      <w:r>
        <w:rPr>
          <w:rFonts w:ascii="Arial" w:eastAsia="Batang;바탕" w:hAnsi="Arial" w:cs="Arial"/>
          <w:sz w:val="24"/>
          <w:szCs w:val="24"/>
        </w:rPr>
        <w:lastRenderedPageBreak/>
        <w:t>2.1 Os preços propostos serão fixos e irreajustáveis, tomando-se por base a proposta de preços</w:t>
      </w:r>
      <w:r>
        <w:rPr>
          <w:rFonts w:ascii="Arial" w:eastAsia="Batang;바탕" w:hAnsi="Arial" w:cs="Arial"/>
          <w:b/>
          <w:sz w:val="24"/>
          <w:szCs w:val="24"/>
        </w:rPr>
        <w:t>.</w:t>
      </w:r>
    </w:p>
    <w:p w:rsidR="00F2672E" w:rsidRDefault="00F2672E" w:rsidP="00F2672E">
      <w:pPr>
        <w:autoSpaceDE/>
        <w:jc w:val="both"/>
        <w:rPr>
          <w:rFonts w:ascii="Arial" w:eastAsia="Batang;바탕" w:hAnsi="Arial" w:cs="Arial"/>
          <w:b/>
          <w:sz w:val="24"/>
          <w:szCs w:val="24"/>
        </w:rPr>
      </w:pPr>
    </w:p>
    <w:p w:rsidR="00F2672E" w:rsidRDefault="00F2672E" w:rsidP="00F2672E">
      <w:pPr>
        <w:autoSpaceDE/>
        <w:jc w:val="both"/>
      </w:pPr>
      <w:r>
        <w:rPr>
          <w:rFonts w:ascii="Arial" w:hAnsi="Arial" w:cs="Arial"/>
          <w:b/>
          <w:sz w:val="24"/>
          <w:szCs w:val="24"/>
        </w:rPr>
        <w:t>§ 1º</w:t>
      </w:r>
      <w:r>
        <w:rPr>
          <w:rFonts w:ascii="Arial" w:hAnsi="Arial" w:cs="Arial"/>
          <w:sz w:val="24"/>
          <w:szCs w:val="24"/>
        </w:rPr>
        <w:t xml:space="preserve"> Quando o preço inicialmente registrado, por motivo superveniente, tornar-se superior ao preço praticado no mercado a Administração deverá:</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I – convocar o fornecedor visando a negociação para redução de preços e sua adequação ao praticado pelo mercado;</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II – frustrada a negociação, o fornecedor será liberado do compromisso assumido; e</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III – convocar os demais fornecedores visando igual oportunidade de negociação.</w:t>
      </w:r>
    </w:p>
    <w:p w:rsidR="00F2672E" w:rsidRDefault="00F2672E" w:rsidP="00F2672E">
      <w:pPr>
        <w:autoSpaceDE/>
        <w:jc w:val="both"/>
        <w:rPr>
          <w:rFonts w:ascii="Arial" w:hAnsi="Arial" w:cs="Arial"/>
          <w:sz w:val="24"/>
          <w:szCs w:val="24"/>
        </w:rPr>
      </w:pPr>
    </w:p>
    <w:p w:rsidR="00F2672E" w:rsidRDefault="00F2672E" w:rsidP="00F2672E">
      <w:pPr>
        <w:autoSpaceDE/>
        <w:jc w:val="both"/>
      </w:pPr>
      <w:r>
        <w:rPr>
          <w:rFonts w:ascii="Arial" w:hAnsi="Arial" w:cs="Arial"/>
          <w:b/>
          <w:sz w:val="24"/>
          <w:szCs w:val="24"/>
        </w:rPr>
        <w:t>§ 2º</w:t>
      </w:r>
      <w:r>
        <w:rPr>
          <w:rFonts w:ascii="Arial" w:hAnsi="Arial" w:cs="Arial"/>
          <w:sz w:val="24"/>
          <w:szCs w:val="24"/>
        </w:rPr>
        <w:t xml:space="preserve"> Quando o preço de mercado tornar-se superior aos preços registrados e o fornecedor, mediante requerimento devidamente comprovado, não puder cumprir o compromisso, a Administração poderá:</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I – liberar o fornecedor do compromisso assumido, sem aplicação da penalidade, confirmando a veracidade dos motivos e comprovantes apresentados, e se a comunicação ocorrer antes do pedido de fornecimento; e</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II – convocar os demais fornecedores visando igual oportunidade de negociação.</w:t>
      </w:r>
    </w:p>
    <w:p w:rsidR="00F2672E" w:rsidRDefault="00F2672E" w:rsidP="00F2672E">
      <w:pPr>
        <w:autoSpaceDE/>
        <w:jc w:val="both"/>
        <w:rPr>
          <w:rFonts w:ascii="Arial" w:hAnsi="Arial" w:cs="Arial"/>
          <w:sz w:val="24"/>
          <w:szCs w:val="24"/>
        </w:rPr>
      </w:pPr>
    </w:p>
    <w:p w:rsidR="00F2672E" w:rsidRDefault="00F2672E" w:rsidP="00F2672E">
      <w:pPr>
        <w:autoSpaceDE/>
        <w:jc w:val="both"/>
      </w:pPr>
      <w:r>
        <w:rPr>
          <w:rFonts w:ascii="Arial" w:hAnsi="Arial" w:cs="Arial"/>
          <w:b/>
          <w:sz w:val="24"/>
          <w:szCs w:val="24"/>
        </w:rPr>
        <w:t xml:space="preserve">§ 2º </w:t>
      </w:r>
      <w:r>
        <w:rPr>
          <w:rFonts w:ascii="Arial" w:hAnsi="Arial" w:cs="Arial"/>
          <w:sz w:val="24"/>
          <w:szCs w:val="24"/>
        </w:rPr>
        <w:t>Não havendo êxito nas negociações, a Administração deverá proceder à revogação da Ata de Registro de Preços, adotando as medidas cabíveis para obtenção da contratação mais vantajosa.</w:t>
      </w:r>
    </w:p>
    <w:p w:rsidR="00F2672E" w:rsidRDefault="00F2672E" w:rsidP="00F2672E">
      <w:pPr>
        <w:autoSpaceDE/>
        <w:rPr>
          <w:rFonts w:ascii="Arial" w:hAnsi="Arial" w:cs="Arial"/>
          <w:sz w:val="24"/>
          <w:szCs w:val="24"/>
        </w:rPr>
      </w:pPr>
    </w:p>
    <w:p w:rsidR="00F2672E" w:rsidRDefault="00F2672E" w:rsidP="00F2672E">
      <w:pPr>
        <w:autoSpaceDE/>
        <w:rPr>
          <w:rFonts w:ascii="Arial" w:hAnsi="Arial" w:cs="Arial"/>
          <w:b/>
          <w:sz w:val="24"/>
          <w:szCs w:val="24"/>
        </w:rPr>
      </w:pPr>
      <w:r>
        <w:rPr>
          <w:rFonts w:ascii="Arial" w:hAnsi="Arial" w:cs="Arial"/>
          <w:b/>
          <w:sz w:val="24"/>
          <w:szCs w:val="24"/>
        </w:rPr>
        <w:t>CLÁUSULA TERCEIRA - DOS PRAZOS</w:t>
      </w:r>
    </w:p>
    <w:p w:rsidR="00F2672E" w:rsidRDefault="00F2672E" w:rsidP="00F2672E">
      <w:pPr>
        <w:autoSpaceDE/>
        <w:rPr>
          <w:rFonts w:ascii="Arial" w:hAnsi="Arial" w:cs="Arial"/>
          <w:b/>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3.1. A Ata de Registro de Preços terá validade até doze meses da assinatura da ata de registro de preço, não podendo ser prorrogado por se tratar da modalidade de registro de preço.</w:t>
      </w:r>
    </w:p>
    <w:p w:rsidR="00F2672E" w:rsidRDefault="00F2672E" w:rsidP="00F2672E">
      <w:pPr>
        <w:autoSpaceDE/>
        <w:rPr>
          <w:rFonts w:ascii="Arial" w:hAnsi="Arial" w:cs="Arial"/>
          <w:sz w:val="24"/>
          <w:szCs w:val="24"/>
        </w:rPr>
      </w:pPr>
    </w:p>
    <w:p w:rsidR="00F2672E" w:rsidRDefault="00F2672E" w:rsidP="00F2672E">
      <w:pPr>
        <w:autoSpaceDE/>
        <w:jc w:val="both"/>
      </w:pPr>
      <w:r>
        <w:rPr>
          <w:rFonts w:ascii="Arial" w:hAnsi="Arial" w:cs="Arial"/>
          <w:sz w:val="24"/>
          <w:szCs w:val="24"/>
        </w:rPr>
        <w:t xml:space="preserve">3.2. O pagamento será efetuado 05 dias após a entrega do objeto licitado/serviços prestados, pelo proponente, cumpridos os tramites legais, e após entrega do documento fiscal correspondente e </w:t>
      </w:r>
      <w:r>
        <w:rPr>
          <w:rFonts w:ascii="Arial" w:hAnsi="Arial" w:cs="Arial"/>
          <w:b/>
          <w:sz w:val="24"/>
          <w:szCs w:val="24"/>
          <w:u w:val="single"/>
        </w:rPr>
        <w:t>certificado pela secretaria competente a realização do serviço.</w:t>
      </w:r>
    </w:p>
    <w:p w:rsidR="00F2672E" w:rsidRDefault="00F2672E" w:rsidP="00F2672E">
      <w:pPr>
        <w:autoSpaceDE/>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3.3 O FORNECIMENTO do produto devera ser realizado conforme necessidade e solicitação do município, de acordo com o edital, a proposta vencedora da Licitação, o presente termo e as cláusulas das minutas do Termo de Fornecimento.</w:t>
      </w:r>
    </w:p>
    <w:p w:rsidR="00F2672E" w:rsidRDefault="00F2672E" w:rsidP="00F2672E">
      <w:pPr>
        <w:autoSpaceDE/>
        <w:rPr>
          <w:rFonts w:ascii="Arial" w:hAnsi="Arial" w:cs="Arial"/>
          <w:sz w:val="24"/>
          <w:szCs w:val="24"/>
        </w:rPr>
      </w:pPr>
    </w:p>
    <w:p w:rsidR="00F2672E" w:rsidRDefault="00F2672E" w:rsidP="00F2672E">
      <w:pPr>
        <w:autoSpaceDE/>
        <w:rPr>
          <w:rFonts w:ascii="Arial" w:hAnsi="Arial" w:cs="Arial"/>
          <w:b/>
          <w:sz w:val="24"/>
          <w:szCs w:val="24"/>
        </w:rPr>
      </w:pPr>
      <w:r>
        <w:rPr>
          <w:rFonts w:ascii="Arial" w:hAnsi="Arial" w:cs="Arial"/>
          <w:b/>
          <w:sz w:val="24"/>
          <w:szCs w:val="24"/>
        </w:rPr>
        <w:t>CLÁUSULA QUARTA - DOS DIREITOS E DAS OBRIGAÇÕES</w:t>
      </w:r>
    </w:p>
    <w:p w:rsidR="00F2672E" w:rsidRDefault="00F2672E" w:rsidP="00F2672E">
      <w:pPr>
        <w:autoSpaceDE/>
        <w:rPr>
          <w:rFonts w:ascii="Arial" w:hAnsi="Arial" w:cs="Arial"/>
          <w:b/>
          <w:sz w:val="24"/>
          <w:szCs w:val="24"/>
        </w:rPr>
      </w:pPr>
    </w:p>
    <w:p w:rsidR="00F2672E" w:rsidRDefault="00F2672E" w:rsidP="00F2672E">
      <w:pPr>
        <w:autoSpaceDE/>
        <w:rPr>
          <w:rFonts w:ascii="Arial" w:hAnsi="Arial" w:cs="Arial"/>
          <w:sz w:val="24"/>
          <w:szCs w:val="24"/>
        </w:rPr>
      </w:pPr>
      <w:r>
        <w:rPr>
          <w:rFonts w:ascii="Arial" w:hAnsi="Arial" w:cs="Arial"/>
          <w:sz w:val="24"/>
          <w:szCs w:val="24"/>
        </w:rPr>
        <w:t>4.1 - Dos Direitos:</w:t>
      </w:r>
    </w:p>
    <w:p w:rsidR="00F2672E" w:rsidRDefault="00F2672E" w:rsidP="00F2672E">
      <w:pPr>
        <w:autoSpaceDE/>
        <w:rPr>
          <w:rFonts w:ascii="Arial" w:hAnsi="Arial" w:cs="Arial"/>
          <w:sz w:val="24"/>
          <w:szCs w:val="24"/>
        </w:rPr>
      </w:pPr>
    </w:p>
    <w:p w:rsidR="00F2672E" w:rsidRDefault="00F2672E" w:rsidP="00F2672E">
      <w:pPr>
        <w:autoSpaceDE/>
        <w:rPr>
          <w:rFonts w:ascii="Arial" w:hAnsi="Arial" w:cs="Arial"/>
          <w:sz w:val="24"/>
          <w:szCs w:val="24"/>
        </w:rPr>
      </w:pPr>
      <w:r>
        <w:rPr>
          <w:rFonts w:ascii="Arial" w:hAnsi="Arial" w:cs="Arial"/>
          <w:sz w:val="24"/>
          <w:szCs w:val="24"/>
        </w:rPr>
        <w:lastRenderedPageBreak/>
        <w:t>4.1.1 - da ADMINISTRAÇÃO: contratar, se necessário, o objeto desta Licitação; e</w:t>
      </w:r>
    </w:p>
    <w:p w:rsidR="00F2672E" w:rsidRDefault="00F2672E" w:rsidP="00F2672E">
      <w:pPr>
        <w:autoSpaceDE/>
        <w:rPr>
          <w:rFonts w:ascii="Arial" w:hAnsi="Arial" w:cs="Arial"/>
          <w:sz w:val="24"/>
          <w:szCs w:val="24"/>
        </w:rPr>
      </w:pPr>
    </w:p>
    <w:p w:rsidR="00F2672E" w:rsidRDefault="00F2672E" w:rsidP="00F2672E">
      <w:pPr>
        <w:autoSpaceDE/>
        <w:rPr>
          <w:rFonts w:ascii="Arial" w:hAnsi="Arial" w:cs="Arial"/>
          <w:sz w:val="24"/>
          <w:szCs w:val="24"/>
        </w:rPr>
      </w:pPr>
      <w:r>
        <w:rPr>
          <w:rFonts w:ascii="Arial" w:hAnsi="Arial" w:cs="Arial"/>
          <w:sz w:val="24"/>
          <w:szCs w:val="24"/>
        </w:rPr>
        <w:t>4.1.2 -do COMPROMITENTE: ser contratado se a Administração utilizar o Registro de Preços, ou, em igualdade de condições, ser preterido, no caso de contratação por outra forma.</w:t>
      </w:r>
    </w:p>
    <w:p w:rsidR="00F2672E" w:rsidRDefault="00F2672E" w:rsidP="00F2672E">
      <w:pPr>
        <w:autoSpaceDE/>
        <w:rPr>
          <w:rFonts w:ascii="Arial" w:hAnsi="Arial" w:cs="Arial"/>
          <w:sz w:val="24"/>
          <w:szCs w:val="24"/>
        </w:rPr>
      </w:pPr>
    </w:p>
    <w:p w:rsidR="00F2672E" w:rsidRDefault="00F2672E" w:rsidP="00F2672E">
      <w:pPr>
        <w:autoSpaceDE/>
        <w:rPr>
          <w:rFonts w:ascii="Arial" w:hAnsi="Arial" w:cs="Arial"/>
          <w:sz w:val="24"/>
          <w:szCs w:val="24"/>
        </w:rPr>
      </w:pPr>
      <w:r>
        <w:rPr>
          <w:rFonts w:ascii="Arial" w:hAnsi="Arial" w:cs="Arial"/>
          <w:sz w:val="24"/>
          <w:szCs w:val="24"/>
        </w:rPr>
        <w:t>4.2 - Das Obrigações:</w:t>
      </w:r>
    </w:p>
    <w:p w:rsidR="00F2672E" w:rsidRDefault="00F2672E" w:rsidP="00F2672E">
      <w:pPr>
        <w:autoSpaceDE/>
        <w:rPr>
          <w:rFonts w:ascii="Arial" w:hAnsi="Arial" w:cs="Arial"/>
          <w:sz w:val="24"/>
          <w:szCs w:val="24"/>
        </w:rPr>
      </w:pPr>
    </w:p>
    <w:p w:rsidR="00F2672E" w:rsidRDefault="00F2672E" w:rsidP="00F2672E">
      <w:pPr>
        <w:autoSpaceDE/>
        <w:jc w:val="both"/>
        <w:rPr>
          <w:rFonts w:ascii="Arial" w:hAnsi="Arial" w:cs="Arial"/>
          <w:sz w:val="24"/>
          <w:szCs w:val="24"/>
        </w:rPr>
      </w:pPr>
    </w:p>
    <w:p w:rsidR="00F2672E" w:rsidRDefault="00F2672E" w:rsidP="00F2672E">
      <w:pPr>
        <w:tabs>
          <w:tab w:val="left" w:pos="1276"/>
        </w:tabs>
        <w:jc w:val="both"/>
        <w:rPr>
          <w:rFonts w:ascii="Arial" w:eastAsia="Batang;바탕" w:hAnsi="Arial" w:cs="Arial"/>
          <w:b/>
          <w:sz w:val="24"/>
          <w:szCs w:val="24"/>
        </w:rPr>
      </w:pPr>
      <w:r>
        <w:rPr>
          <w:rFonts w:ascii="Arial" w:eastAsia="Batang;바탕" w:hAnsi="Arial" w:cs="Arial"/>
          <w:b/>
          <w:sz w:val="24"/>
          <w:szCs w:val="24"/>
        </w:rPr>
        <w:t>DAS RESPONSABILIDADES DO FORNECEDOR REGISTRADO</w:t>
      </w:r>
    </w:p>
    <w:p w:rsidR="00F2672E" w:rsidRDefault="00F2672E" w:rsidP="00F2672E">
      <w:pPr>
        <w:tabs>
          <w:tab w:val="left" w:pos="1276"/>
        </w:tabs>
        <w:jc w:val="both"/>
        <w:rPr>
          <w:rFonts w:ascii="Arial" w:eastAsia="Batang;바탕" w:hAnsi="Arial" w:cs="Arial"/>
          <w:b/>
          <w:sz w:val="24"/>
          <w:szCs w:val="24"/>
        </w:rPr>
      </w:pPr>
    </w:p>
    <w:p w:rsidR="00F2672E" w:rsidRDefault="00F2672E" w:rsidP="00F2672E">
      <w:pPr>
        <w:jc w:val="both"/>
        <w:rPr>
          <w:rFonts w:ascii="Arial" w:eastAsia="Batang;바탕" w:hAnsi="Arial" w:cs="Arial"/>
          <w:sz w:val="24"/>
          <w:szCs w:val="24"/>
        </w:rPr>
      </w:pPr>
      <w:r>
        <w:rPr>
          <w:rFonts w:ascii="Arial" w:eastAsia="Batang;바탕" w:hAnsi="Arial" w:cs="Arial"/>
          <w:sz w:val="24"/>
          <w:szCs w:val="24"/>
        </w:rPr>
        <w:t>4.2.1. Efetuar a entrega do objetos desta licitação de acordo com os prazos e especificações.</w:t>
      </w:r>
    </w:p>
    <w:p w:rsidR="00F2672E" w:rsidRDefault="00F2672E" w:rsidP="00F2672E">
      <w:pPr>
        <w:jc w:val="both"/>
        <w:rPr>
          <w:rFonts w:ascii="Arial" w:eastAsia="Arial" w:hAnsi="Arial" w:cs="Arial"/>
          <w:sz w:val="24"/>
          <w:szCs w:val="24"/>
        </w:rPr>
      </w:pPr>
      <w:r>
        <w:rPr>
          <w:rFonts w:ascii="Arial" w:eastAsia="Arial" w:hAnsi="Arial" w:cs="Arial"/>
          <w:sz w:val="24"/>
          <w:szCs w:val="24"/>
        </w:rPr>
        <w:t xml:space="preserve"> </w:t>
      </w:r>
    </w:p>
    <w:p w:rsidR="00F2672E" w:rsidRDefault="00F2672E" w:rsidP="00F2672E">
      <w:pPr>
        <w:rPr>
          <w:rFonts w:ascii="Arial" w:eastAsia="Batang;바탕" w:hAnsi="Arial" w:cs="Arial"/>
          <w:color w:val="000000"/>
          <w:sz w:val="24"/>
          <w:szCs w:val="24"/>
        </w:rPr>
      </w:pPr>
      <w:r>
        <w:rPr>
          <w:rFonts w:ascii="Arial" w:eastAsia="Batang;바탕" w:hAnsi="Arial" w:cs="Arial"/>
          <w:color w:val="000000"/>
          <w:sz w:val="24"/>
          <w:szCs w:val="24"/>
        </w:rPr>
        <w:t>4.2.2. Reconhecer todos os direitos do Município de rescisão unilateral do contrato.</w:t>
      </w:r>
    </w:p>
    <w:p w:rsidR="00F2672E" w:rsidRDefault="00F2672E" w:rsidP="00F2672E">
      <w:pPr>
        <w:rPr>
          <w:rFonts w:ascii="Arial" w:eastAsia="Batang;바탕" w:hAnsi="Arial" w:cs="Arial"/>
          <w:color w:val="000000"/>
          <w:sz w:val="24"/>
          <w:szCs w:val="24"/>
        </w:rPr>
      </w:pPr>
    </w:p>
    <w:p w:rsidR="00F2672E" w:rsidRDefault="00F2672E" w:rsidP="00F2672E">
      <w:pPr>
        <w:jc w:val="both"/>
        <w:rPr>
          <w:rFonts w:ascii="Arial" w:eastAsia="Batang;바탕" w:hAnsi="Arial" w:cs="Arial"/>
          <w:sz w:val="24"/>
          <w:szCs w:val="24"/>
        </w:rPr>
      </w:pPr>
      <w:r>
        <w:rPr>
          <w:rFonts w:ascii="Arial" w:eastAsia="Batang;바탕" w:hAnsi="Arial" w:cs="Arial"/>
          <w:sz w:val="24"/>
          <w:szCs w:val="24"/>
        </w:rPr>
        <w:t xml:space="preserve">4.2.3. Manter, durante o período de execução até o pagamento dos serviços, todas as condições de habilitação e qualificação previamente exigidas, quando da fase de habilitação da licitação que lhe deu origem, sujeitando-se às penalidades decorrentes do /desatendimento a tal obrigação. </w:t>
      </w:r>
    </w:p>
    <w:p w:rsidR="00F2672E" w:rsidRDefault="00F2672E" w:rsidP="00F2672E">
      <w:pPr>
        <w:tabs>
          <w:tab w:val="left" w:pos="0"/>
        </w:tabs>
        <w:rPr>
          <w:rFonts w:ascii="Arial" w:eastAsia="Batang;바탕" w:hAnsi="Arial" w:cs="Arial"/>
          <w:sz w:val="24"/>
          <w:szCs w:val="24"/>
        </w:rPr>
      </w:pPr>
    </w:p>
    <w:p w:rsidR="00F2672E" w:rsidRDefault="00F2672E" w:rsidP="00F2672E">
      <w:pPr>
        <w:tabs>
          <w:tab w:val="left" w:pos="0"/>
        </w:tabs>
        <w:rPr>
          <w:rFonts w:ascii="Arial" w:eastAsia="Batang;바탕" w:hAnsi="Arial" w:cs="Arial"/>
          <w:sz w:val="24"/>
          <w:szCs w:val="24"/>
        </w:rPr>
      </w:pPr>
      <w:r>
        <w:rPr>
          <w:rFonts w:ascii="Arial" w:eastAsia="Batang;바탕" w:hAnsi="Arial" w:cs="Arial"/>
          <w:sz w:val="24"/>
          <w:szCs w:val="24"/>
        </w:rPr>
        <w:t xml:space="preserve">4..2.4 Aceitar acréscimos ou supressões até o limite de 25% (vinte e cinco por cento) das quantidades registradas, na forma prevista no art. 65, § 1º, da Lei nº. 8.666/1993. </w:t>
      </w:r>
    </w:p>
    <w:p w:rsidR="00F2672E" w:rsidRDefault="00F2672E" w:rsidP="00F2672E">
      <w:pPr>
        <w:rPr>
          <w:rFonts w:ascii="Arial" w:eastAsia="Batang;바탕" w:hAnsi="Arial" w:cs="Arial"/>
          <w:sz w:val="24"/>
          <w:szCs w:val="24"/>
        </w:rPr>
      </w:pPr>
    </w:p>
    <w:p w:rsidR="00F2672E" w:rsidRDefault="00F2672E" w:rsidP="00F2672E">
      <w:r>
        <w:rPr>
          <w:rFonts w:ascii="Arial" w:eastAsia="Batang;바탕" w:hAnsi="Arial" w:cs="Arial"/>
          <w:sz w:val="24"/>
          <w:szCs w:val="24"/>
        </w:rPr>
        <w:t xml:space="preserve">4.2.5. Responsabilizar-se pelos danos causados diretamente à Administração ou a terceiros, em decorrência de </w:t>
      </w:r>
      <w:r>
        <w:rPr>
          <w:rFonts w:ascii="Arial" w:eastAsia="Batang;바탕" w:hAnsi="Arial" w:cs="Arial"/>
          <w:color w:val="000000"/>
          <w:sz w:val="24"/>
          <w:szCs w:val="24"/>
        </w:rPr>
        <w:t>sua culpa ou dolo, na execução da Ata, na forma do que dispõe o art. 70 da Lei nº. 8.666/1993.</w:t>
      </w:r>
    </w:p>
    <w:p w:rsidR="00F2672E" w:rsidRDefault="00F2672E" w:rsidP="00F2672E">
      <w:pPr>
        <w:rPr>
          <w:rFonts w:ascii="Arial" w:eastAsia="Batang;바탕" w:hAnsi="Arial" w:cs="Arial"/>
          <w:color w:val="000000"/>
          <w:sz w:val="24"/>
          <w:szCs w:val="24"/>
        </w:rPr>
      </w:pPr>
    </w:p>
    <w:p w:rsidR="00F2672E" w:rsidRDefault="00F2672E" w:rsidP="00F2672E">
      <w:pPr>
        <w:rPr>
          <w:rFonts w:ascii="Arial" w:eastAsia="Batang;바탕" w:hAnsi="Arial" w:cs="Arial"/>
          <w:sz w:val="24"/>
          <w:szCs w:val="24"/>
        </w:rPr>
      </w:pPr>
      <w:r>
        <w:rPr>
          <w:rFonts w:ascii="Arial" w:eastAsia="Batang;바탕" w:hAnsi="Arial" w:cs="Arial"/>
          <w:sz w:val="24"/>
          <w:szCs w:val="24"/>
        </w:rPr>
        <w:t>4.2.6. Responsabilizar-se pelos encargos trabalhistas, previdenciários, fiscais e comerciais resultantes da execução da Ata, na forma do que dispõe o art. 71 da Lei nº. 8.666/1993.</w:t>
      </w:r>
    </w:p>
    <w:p w:rsidR="00F2672E" w:rsidRDefault="00F2672E" w:rsidP="00F2672E">
      <w:pPr>
        <w:rPr>
          <w:rFonts w:ascii="Arial" w:eastAsia="Batang;바탕" w:hAnsi="Arial" w:cs="Arial"/>
          <w:sz w:val="24"/>
          <w:szCs w:val="24"/>
        </w:rPr>
      </w:pPr>
    </w:p>
    <w:p w:rsidR="00F2672E" w:rsidRDefault="00F2672E" w:rsidP="00F2672E">
      <w:pPr>
        <w:rPr>
          <w:rFonts w:ascii="Arial" w:eastAsia="Batang;바탕" w:hAnsi="Arial" w:cs="Arial"/>
          <w:sz w:val="24"/>
          <w:szCs w:val="24"/>
        </w:rPr>
      </w:pPr>
      <w:r>
        <w:rPr>
          <w:rFonts w:ascii="Arial" w:eastAsia="Batang;바탕" w:hAnsi="Arial" w:cs="Arial"/>
          <w:sz w:val="24"/>
          <w:szCs w:val="24"/>
        </w:rPr>
        <w:t>4.2.7. Outras obrigações constantes do Edital de Licitação.</w:t>
      </w:r>
    </w:p>
    <w:p w:rsidR="00F2672E" w:rsidRDefault="00F2672E" w:rsidP="00F2672E">
      <w:pPr>
        <w:tabs>
          <w:tab w:val="left" w:pos="1276"/>
        </w:tabs>
        <w:rPr>
          <w:rFonts w:ascii="Arial" w:eastAsia="Batang;바탕" w:hAnsi="Arial" w:cs="Arial"/>
          <w:b/>
          <w:sz w:val="24"/>
          <w:szCs w:val="24"/>
          <w:highlight w:val="yellow"/>
        </w:rPr>
      </w:pPr>
    </w:p>
    <w:p w:rsidR="00F2672E" w:rsidRDefault="00F2672E" w:rsidP="00F2672E">
      <w:pPr>
        <w:tabs>
          <w:tab w:val="left" w:pos="1276"/>
        </w:tabs>
        <w:rPr>
          <w:rFonts w:ascii="Arial" w:eastAsia="Batang;바탕" w:hAnsi="Arial" w:cs="Arial"/>
          <w:b/>
          <w:sz w:val="24"/>
          <w:szCs w:val="24"/>
        </w:rPr>
      </w:pPr>
      <w:r>
        <w:rPr>
          <w:rFonts w:ascii="Arial" w:eastAsia="Batang;바탕" w:hAnsi="Arial" w:cs="Arial"/>
          <w:b/>
          <w:sz w:val="24"/>
          <w:szCs w:val="24"/>
        </w:rPr>
        <w:t>DAS RESPONSABILIDADES DO ÓRGÃO GERENCIADOR</w:t>
      </w:r>
    </w:p>
    <w:p w:rsidR="00F2672E" w:rsidRDefault="00F2672E" w:rsidP="00F2672E">
      <w:pPr>
        <w:tabs>
          <w:tab w:val="left" w:pos="1276"/>
        </w:tabs>
        <w:rPr>
          <w:rFonts w:ascii="Arial" w:eastAsia="Batang;바탕" w:hAnsi="Arial" w:cs="Arial"/>
          <w:b/>
          <w:sz w:val="24"/>
          <w:szCs w:val="24"/>
        </w:rPr>
      </w:pPr>
    </w:p>
    <w:p w:rsidR="00F2672E" w:rsidRDefault="00F2672E" w:rsidP="00F2672E">
      <w:pPr>
        <w:rPr>
          <w:rFonts w:ascii="Arial" w:eastAsia="Batang;바탕" w:hAnsi="Arial" w:cs="Arial"/>
          <w:color w:val="000000"/>
          <w:sz w:val="24"/>
          <w:szCs w:val="24"/>
        </w:rPr>
      </w:pPr>
      <w:r>
        <w:rPr>
          <w:rFonts w:ascii="Arial" w:eastAsia="Batang;바탕" w:hAnsi="Arial" w:cs="Arial"/>
          <w:color w:val="000000"/>
          <w:sz w:val="24"/>
          <w:szCs w:val="24"/>
        </w:rPr>
        <w:t>4.2.8. Gerenciar a Ata de Registro de Preços.</w:t>
      </w:r>
    </w:p>
    <w:p w:rsidR="00F2672E" w:rsidRDefault="00F2672E" w:rsidP="00F2672E">
      <w:pPr>
        <w:rPr>
          <w:rFonts w:ascii="Arial" w:eastAsia="Batang;바탕" w:hAnsi="Arial" w:cs="Arial"/>
          <w:color w:val="000000"/>
          <w:sz w:val="24"/>
          <w:szCs w:val="24"/>
        </w:rPr>
      </w:pPr>
    </w:p>
    <w:p w:rsidR="00F2672E" w:rsidRDefault="00F2672E" w:rsidP="00F2672E">
      <w:pPr>
        <w:tabs>
          <w:tab w:val="left" w:pos="1134"/>
        </w:tabs>
      </w:pPr>
      <w:r>
        <w:rPr>
          <w:rFonts w:ascii="Arial" w:eastAsia="Batang;바탕" w:hAnsi="Arial" w:cs="Arial"/>
          <w:color w:val="000000"/>
          <w:sz w:val="24"/>
          <w:szCs w:val="24"/>
        </w:rPr>
        <w:t>4.2.9.  Exercer a fiscalização, examinando quanto ao cumprimento da Ata de Registro de Preços, por meio de servidor especialmente designado, na forma prevista no art. 67 da Lei nº. 8.666/1993</w:t>
      </w:r>
      <w:r>
        <w:rPr>
          <w:rFonts w:ascii="Arial" w:eastAsia="Batang;바탕" w:hAnsi="Arial" w:cs="Arial"/>
          <w:sz w:val="24"/>
          <w:szCs w:val="24"/>
        </w:rPr>
        <w:t>.</w:t>
      </w:r>
    </w:p>
    <w:p w:rsidR="00F2672E" w:rsidRDefault="00F2672E" w:rsidP="00F2672E">
      <w:pPr>
        <w:tabs>
          <w:tab w:val="left" w:pos="1134"/>
        </w:tabs>
        <w:rPr>
          <w:rFonts w:ascii="Arial" w:eastAsia="Batang;바탕" w:hAnsi="Arial" w:cs="Arial"/>
          <w:color w:val="000000"/>
          <w:sz w:val="24"/>
          <w:szCs w:val="24"/>
        </w:rPr>
      </w:pPr>
    </w:p>
    <w:p w:rsidR="00F2672E" w:rsidRDefault="00F2672E" w:rsidP="00F2672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ascii="Arial" w:eastAsia="Batang;바탕" w:hAnsi="Arial" w:cs="Arial"/>
          <w:sz w:val="24"/>
          <w:szCs w:val="24"/>
        </w:rPr>
      </w:pPr>
      <w:r>
        <w:rPr>
          <w:rFonts w:ascii="Arial" w:eastAsia="Batang;바탕" w:hAnsi="Arial" w:cs="Arial"/>
          <w:sz w:val="24"/>
          <w:szCs w:val="24"/>
        </w:rPr>
        <w:t>4.2.10. Efetuar o pagamento referente ao fornecimento dos serviços.</w:t>
      </w:r>
    </w:p>
    <w:p w:rsidR="00F2672E" w:rsidRDefault="00F2672E" w:rsidP="00F2672E">
      <w:pPr>
        <w:pStyle w:val="Recuodecorpodetexto"/>
        <w:tabs>
          <w:tab w:val="left" w:pos="709"/>
        </w:tabs>
        <w:ind w:left="0"/>
        <w:rPr>
          <w:rFonts w:ascii="Arial" w:eastAsia="Batang;바탕" w:hAnsi="Arial" w:cs="Arial"/>
          <w:sz w:val="24"/>
          <w:szCs w:val="24"/>
        </w:rPr>
      </w:pPr>
    </w:p>
    <w:p w:rsidR="00F2672E" w:rsidRDefault="00F2672E" w:rsidP="00F2672E">
      <w:pPr>
        <w:rPr>
          <w:rFonts w:ascii="Arial" w:eastAsia="Batang;바탕" w:hAnsi="Arial" w:cs="Arial"/>
          <w:sz w:val="24"/>
          <w:szCs w:val="24"/>
        </w:rPr>
      </w:pPr>
      <w:r>
        <w:rPr>
          <w:rFonts w:ascii="Arial" w:eastAsia="Batang;바탕" w:hAnsi="Arial" w:cs="Arial"/>
          <w:sz w:val="24"/>
          <w:szCs w:val="24"/>
        </w:rPr>
        <w:t>4.2.11. Prestar as informações e esclarecimentos que venham ser solicitados.</w:t>
      </w:r>
    </w:p>
    <w:p w:rsidR="00F2672E" w:rsidRDefault="00F2672E" w:rsidP="00F2672E">
      <w:pPr>
        <w:rPr>
          <w:rFonts w:ascii="Arial" w:eastAsia="Batang;바탕" w:hAnsi="Arial" w:cs="Arial"/>
          <w:sz w:val="24"/>
          <w:szCs w:val="24"/>
        </w:rPr>
      </w:pPr>
    </w:p>
    <w:p w:rsidR="00F2672E" w:rsidRDefault="00F2672E" w:rsidP="00F2672E">
      <w:pPr>
        <w:rPr>
          <w:rFonts w:ascii="Arial" w:eastAsia="Batang;바탕" w:hAnsi="Arial" w:cs="Arial"/>
          <w:sz w:val="24"/>
          <w:szCs w:val="24"/>
        </w:rPr>
      </w:pPr>
      <w:r>
        <w:rPr>
          <w:rFonts w:ascii="Arial" w:eastAsia="Batang;바탕" w:hAnsi="Arial" w:cs="Arial"/>
          <w:sz w:val="24"/>
          <w:szCs w:val="24"/>
        </w:rPr>
        <w:lastRenderedPageBreak/>
        <w:t>4.2.12 . Outras obrigações constantes no Edital de Licitação.</w:t>
      </w:r>
    </w:p>
    <w:p w:rsidR="00F2672E" w:rsidRDefault="00F2672E" w:rsidP="00F2672E">
      <w:pPr>
        <w:rPr>
          <w:rFonts w:ascii="Arial" w:eastAsia="Batang;바탕" w:hAnsi="Arial" w:cs="Arial"/>
          <w:b/>
          <w:sz w:val="24"/>
          <w:szCs w:val="24"/>
        </w:rPr>
      </w:pPr>
    </w:p>
    <w:p w:rsidR="00F2672E" w:rsidRDefault="00F2672E" w:rsidP="00F2672E">
      <w:pPr>
        <w:autoSpaceDE/>
        <w:jc w:val="both"/>
        <w:rPr>
          <w:rFonts w:ascii="Arial" w:hAnsi="Arial" w:cs="Arial"/>
          <w:b/>
          <w:sz w:val="24"/>
          <w:szCs w:val="24"/>
        </w:rPr>
      </w:pPr>
      <w:r>
        <w:rPr>
          <w:rFonts w:ascii="Arial" w:hAnsi="Arial" w:cs="Arial"/>
          <w:b/>
          <w:sz w:val="24"/>
          <w:szCs w:val="24"/>
        </w:rPr>
        <w:t>CLÁUSULA QUINTA - DO CANCELAMENTO DO REGISTRO DE PREÇOS</w:t>
      </w:r>
    </w:p>
    <w:p w:rsidR="00F2672E" w:rsidRDefault="00F2672E" w:rsidP="00F2672E">
      <w:pPr>
        <w:autoSpaceDE/>
        <w:jc w:val="both"/>
        <w:rPr>
          <w:rFonts w:ascii="Arial" w:hAnsi="Arial" w:cs="Arial"/>
          <w:b/>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5.1 Os preços registrados poderão ser cancelados:</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5.1.1 -Pela Administração quando:</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 xml:space="preserve">5.1.1.1 - O COMPROMITENTE não cumprir as exigências do instrumento convocatório; </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5.1.1.2 - Ocorrer qualquer das hipóteses de inexecução total ou parcial do contrato decorrente do Registro de Preços;</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5.1.1.3 - Os preços registrados apresentarem-se superiores aos do mercado;</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5.1.1.4 -O COMPROMITENTE der causa à rescisão administrativa de contrato decorrente do Registro de Preços, por um dos motivos elencados no art. 78 e seus incisos da Lei federal n. 8.666, de 21 de junho de 1993.</w:t>
      </w:r>
    </w:p>
    <w:p w:rsidR="00F2672E" w:rsidRDefault="00F2672E" w:rsidP="00F2672E">
      <w:pPr>
        <w:autoSpaceDE/>
        <w:jc w:val="both"/>
        <w:rPr>
          <w:rFonts w:ascii="Arial" w:hAnsi="Arial" w:cs="Arial"/>
          <w:sz w:val="24"/>
          <w:szCs w:val="24"/>
        </w:rPr>
      </w:pPr>
      <w:r>
        <w:rPr>
          <w:rFonts w:ascii="Arial" w:hAnsi="Arial" w:cs="Arial"/>
          <w:sz w:val="24"/>
          <w:szCs w:val="24"/>
        </w:rPr>
        <w:t>5.1.1.5 -Por razão de interesse público, devidamente justificado pela Administração;</w:t>
      </w:r>
    </w:p>
    <w:p w:rsidR="00F2672E" w:rsidRDefault="00F2672E" w:rsidP="00F2672E">
      <w:pPr>
        <w:autoSpaceDE/>
        <w:jc w:val="both"/>
        <w:rPr>
          <w:rFonts w:ascii="Arial" w:hAnsi="Arial" w:cs="Arial"/>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5.1.2 - Pelo fornecedor dos serviços mediante solicitação por escrito, comprovando estar impossibilitado de cumprir as exigências do instrumento convocatório que deu origem ao Registro de Preços, com antecedência de 30 (trinta) dias, sem prejuízo das penalidades previstas no instrumento convocatório, neste Termo, bem como perdas e danos.</w:t>
      </w:r>
    </w:p>
    <w:p w:rsidR="00F2672E" w:rsidRDefault="00F2672E" w:rsidP="00F2672E">
      <w:pPr>
        <w:autoSpaceDE/>
        <w:jc w:val="both"/>
        <w:rPr>
          <w:rFonts w:ascii="Arial" w:hAnsi="Arial" w:cs="Arial"/>
          <w:b/>
          <w:sz w:val="24"/>
          <w:szCs w:val="24"/>
        </w:rPr>
      </w:pPr>
    </w:p>
    <w:p w:rsidR="00F2672E" w:rsidRDefault="00F2672E" w:rsidP="00F2672E">
      <w:pPr>
        <w:autoSpaceDE/>
        <w:jc w:val="both"/>
        <w:rPr>
          <w:rFonts w:ascii="Arial" w:hAnsi="Arial" w:cs="Arial"/>
          <w:b/>
          <w:sz w:val="24"/>
          <w:szCs w:val="24"/>
        </w:rPr>
      </w:pPr>
      <w:r>
        <w:rPr>
          <w:rFonts w:ascii="Arial" w:hAnsi="Arial" w:cs="Arial"/>
          <w:b/>
          <w:sz w:val="24"/>
          <w:szCs w:val="24"/>
        </w:rPr>
        <w:t>CLÁUSULA SEXTA -DAS PENALIDADES E DAS MULTAS</w:t>
      </w:r>
    </w:p>
    <w:p w:rsidR="00F2672E" w:rsidRDefault="00F2672E" w:rsidP="00F2672E">
      <w:pPr>
        <w:autoSpaceDE/>
        <w:jc w:val="both"/>
        <w:rPr>
          <w:rFonts w:ascii="Arial" w:hAnsi="Arial" w:cs="Arial"/>
          <w:b/>
          <w:sz w:val="24"/>
          <w:szCs w:val="24"/>
        </w:rPr>
      </w:pPr>
    </w:p>
    <w:p w:rsidR="00F2672E" w:rsidRDefault="00F2672E" w:rsidP="00F2672E">
      <w:pPr>
        <w:autoSpaceDE/>
        <w:rPr>
          <w:rFonts w:ascii="Arial" w:hAnsi="Arial" w:cs="Arial"/>
          <w:sz w:val="24"/>
          <w:szCs w:val="24"/>
        </w:rPr>
      </w:pPr>
      <w:r>
        <w:rPr>
          <w:rFonts w:ascii="Arial" w:hAnsi="Arial" w:cs="Arial"/>
          <w:sz w:val="24"/>
          <w:szCs w:val="24"/>
        </w:rPr>
        <w:t>6.1. O COMPROMITENTE se sujeita às seguintes penalidades:</w:t>
      </w:r>
    </w:p>
    <w:p w:rsidR="00F2672E" w:rsidRDefault="00F2672E" w:rsidP="00F2672E">
      <w:pPr>
        <w:autoSpaceDE/>
        <w:rPr>
          <w:rFonts w:ascii="Arial" w:hAnsi="Arial" w:cs="Arial"/>
          <w:sz w:val="24"/>
          <w:szCs w:val="24"/>
        </w:rPr>
      </w:pPr>
      <w:r>
        <w:rPr>
          <w:rFonts w:ascii="Arial" w:hAnsi="Arial" w:cs="Arial"/>
          <w:sz w:val="24"/>
          <w:szCs w:val="24"/>
        </w:rPr>
        <w:t>6.1.1 -multa sobre o valor do contrato;</w:t>
      </w:r>
    </w:p>
    <w:p w:rsidR="00F2672E" w:rsidRDefault="00F2672E" w:rsidP="00F2672E">
      <w:pPr>
        <w:autoSpaceDE/>
        <w:rPr>
          <w:rFonts w:ascii="Arial" w:hAnsi="Arial" w:cs="Arial"/>
          <w:sz w:val="24"/>
          <w:szCs w:val="24"/>
        </w:rPr>
      </w:pPr>
      <w:r>
        <w:rPr>
          <w:rFonts w:ascii="Arial" w:hAnsi="Arial" w:cs="Arial"/>
          <w:sz w:val="24"/>
          <w:szCs w:val="24"/>
        </w:rPr>
        <w:t>a) 10 % : recusa do COMPROMITENTE em assinar o contrato</w:t>
      </w:r>
    </w:p>
    <w:p w:rsidR="00F2672E" w:rsidRDefault="00F2672E" w:rsidP="00F2672E">
      <w:pPr>
        <w:autoSpaceDE/>
        <w:rPr>
          <w:rFonts w:ascii="Arial" w:hAnsi="Arial" w:cs="Arial"/>
          <w:sz w:val="24"/>
          <w:szCs w:val="24"/>
        </w:rPr>
      </w:pPr>
      <w:r>
        <w:rPr>
          <w:rFonts w:ascii="Arial" w:hAnsi="Arial" w:cs="Arial"/>
          <w:sz w:val="24"/>
          <w:szCs w:val="24"/>
        </w:rPr>
        <w:t>b) 10 % : descumprimento de qualquer das cláusulas deste Termo.</w:t>
      </w:r>
    </w:p>
    <w:p w:rsidR="00F2672E" w:rsidRDefault="00F2672E" w:rsidP="00F2672E">
      <w:pPr>
        <w:autoSpaceDE/>
        <w:rPr>
          <w:rFonts w:ascii="Arial" w:hAnsi="Arial" w:cs="Arial"/>
          <w:sz w:val="24"/>
          <w:szCs w:val="24"/>
        </w:rPr>
      </w:pPr>
      <w:r>
        <w:rPr>
          <w:rFonts w:ascii="Arial" w:hAnsi="Arial" w:cs="Arial"/>
          <w:sz w:val="24"/>
          <w:szCs w:val="24"/>
        </w:rPr>
        <w:t>6.1.2 II -demais sanções estabelecidas na Lei federal n. º 8.666, de 21 de junho de 1993.</w:t>
      </w:r>
    </w:p>
    <w:p w:rsidR="00F2672E" w:rsidRDefault="00F2672E" w:rsidP="00F2672E">
      <w:pPr>
        <w:autoSpaceDE/>
        <w:rPr>
          <w:rFonts w:ascii="Arial" w:hAnsi="Arial" w:cs="Arial"/>
          <w:sz w:val="24"/>
          <w:szCs w:val="24"/>
        </w:rPr>
      </w:pPr>
    </w:p>
    <w:p w:rsidR="00F2672E" w:rsidRDefault="00F2672E" w:rsidP="00F2672E">
      <w:pPr>
        <w:autoSpaceDE/>
        <w:rPr>
          <w:rFonts w:ascii="Arial" w:hAnsi="Arial" w:cs="Arial"/>
          <w:b/>
          <w:sz w:val="24"/>
          <w:szCs w:val="24"/>
        </w:rPr>
      </w:pPr>
      <w:r>
        <w:rPr>
          <w:rFonts w:ascii="Arial" w:hAnsi="Arial" w:cs="Arial"/>
          <w:b/>
          <w:sz w:val="24"/>
          <w:szCs w:val="24"/>
        </w:rPr>
        <w:t>CLÁUSULA SÉTIMA - DA EFICÁCIA</w:t>
      </w:r>
    </w:p>
    <w:p w:rsidR="00F2672E" w:rsidRDefault="00F2672E" w:rsidP="00F2672E">
      <w:pPr>
        <w:autoSpaceDE/>
        <w:rPr>
          <w:rFonts w:ascii="Arial" w:hAnsi="Arial" w:cs="Arial"/>
          <w:b/>
          <w:sz w:val="24"/>
          <w:szCs w:val="24"/>
        </w:rPr>
      </w:pPr>
    </w:p>
    <w:p w:rsidR="00F2672E" w:rsidRDefault="00F2672E" w:rsidP="00F2672E">
      <w:pPr>
        <w:autoSpaceDE/>
        <w:jc w:val="both"/>
        <w:rPr>
          <w:rFonts w:ascii="Arial" w:hAnsi="Arial" w:cs="Arial"/>
          <w:sz w:val="24"/>
          <w:szCs w:val="24"/>
        </w:rPr>
      </w:pPr>
      <w:r>
        <w:rPr>
          <w:rFonts w:ascii="Arial" w:hAnsi="Arial" w:cs="Arial"/>
          <w:sz w:val="24"/>
          <w:szCs w:val="24"/>
        </w:rPr>
        <w:t>A presente Ata de Registro de Preços somente terá eficácia depois de publicada a respectiva súmula com fixação no Mural Público do Município.</w:t>
      </w:r>
    </w:p>
    <w:p w:rsidR="00F2672E" w:rsidRDefault="00F2672E" w:rsidP="00F2672E">
      <w:pPr>
        <w:autoSpaceDE/>
        <w:jc w:val="both"/>
        <w:rPr>
          <w:rFonts w:ascii="Arial" w:hAnsi="Arial" w:cs="Arial"/>
          <w:sz w:val="24"/>
          <w:szCs w:val="24"/>
        </w:rPr>
      </w:pPr>
    </w:p>
    <w:p w:rsidR="00F2672E" w:rsidRDefault="00F2672E" w:rsidP="00F2672E">
      <w:pPr>
        <w:tabs>
          <w:tab w:val="left" w:pos="993"/>
        </w:tabs>
        <w:rPr>
          <w:rFonts w:ascii="Arial" w:eastAsia="Batang;바탕" w:hAnsi="Arial" w:cs="Arial"/>
          <w:b/>
          <w:sz w:val="24"/>
          <w:szCs w:val="24"/>
        </w:rPr>
      </w:pPr>
      <w:r>
        <w:rPr>
          <w:rFonts w:ascii="Arial" w:eastAsia="Batang;바탕" w:hAnsi="Arial" w:cs="Arial"/>
          <w:b/>
          <w:sz w:val="24"/>
          <w:szCs w:val="24"/>
        </w:rPr>
        <w:t>CLÁUSULA OITAVA - DA DOTAÇÃO ORÇAMENTÁRIA</w:t>
      </w:r>
    </w:p>
    <w:p w:rsidR="00F2672E" w:rsidRDefault="00F2672E" w:rsidP="00F2672E">
      <w:pPr>
        <w:rPr>
          <w:rFonts w:ascii="Arial" w:eastAsia="Batang;바탕" w:hAnsi="Arial" w:cs="Arial"/>
          <w:b/>
          <w:sz w:val="24"/>
          <w:szCs w:val="24"/>
        </w:rPr>
      </w:pPr>
    </w:p>
    <w:p w:rsidR="00F2672E" w:rsidRDefault="00F2672E" w:rsidP="00F2672E">
      <w:pPr>
        <w:rPr>
          <w:rFonts w:ascii="Arial" w:eastAsia="Batang;바탕" w:hAnsi="Arial" w:cs="Arial"/>
          <w:sz w:val="24"/>
          <w:szCs w:val="24"/>
        </w:rPr>
      </w:pPr>
      <w:r>
        <w:rPr>
          <w:rFonts w:ascii="Arial" w:eastAsia="Batang;바탕" w:hAnsi="Arial" w:cs="Arial"/>
          <w:sz w:val="24"/>
          <w:szCs w:val="24"/>
        </w:rPr>
        <w:t>As despesas para a execução do fornecimento decorrente desta Ata de Registro de Preços correrão à conta da seguinte dotação orçamentária:</w:t>
      </w:r>
    </w:p>
    <w:p w:rsidR="00F2672E" w:rsidRDefault="00F2672E" w:rsidP="00F2672E">
      <w:pPr>
        <w:rPr>
          <w:rFonts w:ascii="Arial" w:eastAsia="Batang;바탕" w:hAnsi="Arial" w:cs="Arial"/>
          <w:sz w:val="24"/>
          <w:szCs w:val="24"/>
          <w:highlight w:val="yellow"/>
        </w:rPr>
      </w:pPr>
    </w:p>
    <w:p w:rsidR="00F2672E" w:rsidRPr="00A67D0A" w:rsidRDefault="00F2672E" w:rsidP="00F2672E">
      <w:pPr>
        <w:jc w:val="both"/>
        <w:rPr>
          <w:rFonts w:cs="Arial"/>
        </w:rPr>
      </w:pPr>
      <w:r w:rsidRPr="00A67D0A">
        <w:rPr>
          <w:rFonts w:cs="Arial"/>
        </w:rPr>
        <w:t>Órgão Orçamentário: 30 Fundo Municipal de Saúde</w:t>
      </w:r>
      <w:r>
        <w:rPr>
          <w:rFonts w:cs="Arial"/>
        </w:rPr>
        <w:t xml:space="preserve"> </w:t>
      </w:r>
    </w:p>
    <w:p w:rsidR="00F2672E" w:rsidRPr="00A67D0A" w:rsidRDefault="00F2672E" w:rsidP="00F2672E">
      <w:pPr>
        <w:jc w:val="both"/>
        <w:rPr>
          <w:rFonts w:cs="Arial"/>
        </w:rPr>
      </w:pPr>
      <w:r w:rsidRPr="00A67D0A">
        <w:rPr>
          <w:rFonts w:cs="Arial"/>
        </w:rPr>
        <w:t>Unidade Orçamentária: 1- Fundo Municipal de Saúde</w:t>
      </w:r>
    </w:p>
    <w:p w:rsidR="00F2672E" w:rsidRPr="00A67D0A" w:rsidRDefault="00F2672E" w:rsidP="00F2672E">
      <w:pPr>
        <w:jc w:val="both"/>
        <w:rPr>
          <w:rFonts w:cs="Arial"/>
        </w:rPr>
      </w:pPr>
      <w:r w:rsidRPr="00A67D0A">
        <w:rPr>
          <w:rFonts w:cs="Arial"/>
        </w:rPr>
        <w:t>Função: 10- Saúde</w:t>
      </w:r>
    </w:p>
    <w:p w:rsidR="00F2672E" w:rsidRPr="00A67D0A" w:rsidRDefault="00F2672E" w:rsidP="00F2672E">
      <w:pPr>
        <w:jc w:val="both"/>
        <w:rPr>
          <w:rFonts w:cs="Arial"/>
        </w:rPr>
      </w:pPr>
      <w:r w:rsidRPr="00A67D0A">
        <w:rPr>
          <w:rFonts w:cs="Arial"/>
        </w:rPr>
        <w:lastRenderedPageBreak/>
        <w:t xml:space="preserve">Subfunção: 301- Atenção Básica  </w:t>
      </w:r>
    </w:p>
    <w:p w:rsidR="00F2672E" w:rsidRPr="00A67D0A" w:rsidRDefault="00F2672E" w:rsidP="00F2672E">
      <w:pPr>
        <w:jc w:val="both"/>
        <w:rPr>
          <w:rFonts w:cs="Arial"/>
        </w:rPr>
      </w:pPr>
      <w:r w:rsidRPr="00A67D0A">
        <w:rPr>
          <w:rFonts w:cs="Arial"/>
        </w:rPr>
        <w:t xml:space="preserve">Programa: 9- Saúde com qualidade  </w:t>
      </w:r>
    </w:p>
    <w:p w:rsidR="00F2672E" w:rsidRPr="00A67D0A" w:rsidRDefault="00F2672E" w:rsidP="00F2672E">
      <w:pPr>
        <w:jc w:val="both"/>
        <w:rPr>
          <w:rFonts w:cs="Arial"/>
        </w:rPr>
      </w:pPr>
      <w:r w:rsidRPr="00A67D0A">
        <w:rPr>
          <w:rFonts w:cs="Arial"/>
        </w:rPr>
        <w:t>Ação: 205</w:t>
      </w:r>
      <w:r>
        <w:rPr>
          <w:rFonts w:cs="Arial"/>
        </w:rPr>
        <w:t>1</w:t>
      </w:r>
      <w:r w:rsidRPr="00A67D0A">
        <w:rPr>
          <w:rFonts w:cs="Arial"/>
        </w:rPr>
        <w:t xml:space="preserve">- MANUTENÇÃO </w:t>
      </w:r>
      <w:r>
        <w:rPr>
          <w:rFonts w:cs="Arial"/>
        </w:rPr>
        <w:t xml:space="preserve">ATENÇÃO BÁSICA- PAB FIXO </w:t>
      </w:r>
    </w:p>
    <w:p w:rsidR="00F2672E" w:rsidRDefault="00F2672E" w:rsidP="00F2672E">
      <w:pPr>
        <w:jc w:val="both"/>
        <w:rPr>
          <w:rFonts w:cs="Arial"/>
        </w:rPr>
      </w:pPr>
      <w:r w:rsidRPr="00A67D0A">
        <w:rPr>
          <w:rFonts w:cs="Arial"/>
        </w:rPr>
        <w:t xml:space="preserve">Cód. Red. </w:t>
      </w:r>
      <w:r>
        <w:rPr>
          <w:rFonts w:cs="Arial"/>
        </w:rPr>
        <w:t>35</w:t>
      </w:r>
      <w:r w:rsidRPr="00A67D0A">
        <w:rPr>
          <w:rFonts w:cs="Arial"/>
        </w:rPr>
        <w:t xml:space="preserve"> -3.3.90.00.00.00.00.00</w:t>
      </w:r>
    </w:p>
    <w:p w:rsidR="00F2672E" w:rsidRDefault="00F2672E" w:rsidP="00F2672E">
      <w:pPr>
        <w:jc w:val="both"/>
        <w:rPr>
          <w:rFonts w:cs="Arial"/>
        </w:rPr>
      </w:pPr>
    </w:p>
    <w:p w:rsidR="00F2672E" w:rsidRPr="001A6B57" w:rsidRDefault="00F2672E" w:rsidP="00F2672E">
      <w:pPr>
        <w:jc w:val="both"/>
        <w:rPr>
          <w:b/>
        </w:rPr>
      </w:pPr>
      <w:r w:rsidRPr="001A6B57">
        <w:rPr>
          <w:rFonts w:ascii="Arial" w:hAnsi="Arial" w:cs="Arial"/>
          <w:b/>
          <w:sz w:val="24"/>
          <w:szCs w:val="24"/>
        </w:rPr>
        <w:t>CLÁUSULA NONA – DO GESTOR E FISCAL DA ATA DE REGISTRO DE PREÇO</w:t>
      </w:r>
    </w:p>
    <w:p w:rsidR="00F2672E" w:rsidRPr="001A6B57" w:rsidRDefault="00F2672E" w:rsidP="00F2672E">
      <w:pPr>
        <w:jc w:val="both"/>
        <w:rPr>
          <w:rFonts w:ascii="Arial" w:hAnsi="Arial" w:cs="Arial"/>
          <w:b/>
          <w:sz w:val="24"/>
          <w:szCs w:val="24"/>
        </w:rPr>
      </w:pPr>
    </w:p>
    <w:p w:rsidR="00F2672E" w:rsidRDefault="00F2672E" w:rsidP="00F2672E">
      <w:pPr>
        <w:jc w:val="both"/>
      </w:pPr>
      <w:r>
        <w:rPr>
          <w:rFonts w:ascii="Arial" w:hAnsi="Arial" w:cs="Arial"/>
          <w:sz w:val="24"/>
          <w:szCs w:val="24"/>
        </w:rPr>
        <w:t xml:space="preserve">O Gestor da ata será o Órgão da Secretaria de Saúde e Bem Estar Social, sendo responsável </w:t>
      </w:r>
      <w:r w:rsidR="004D37AC">
        <w:rPr>
          <w:rFonts w:ascii="Arial" w:hAnsi="Arial" w:cs="Arial"/>
          <w:b/>
          <w:sz w:val="24"/>
          <w:szCs w:val="24"/>
        </w:rPr>
        <w:t>pela fiscalização a</w:t>
      </w:r>
      <w:r>
        <w:rPr>
          <w:rFonts w:ascii="Arial" w:hAnsi="Arial" w:cs="Arial"/>
          <w:b/>
          <w:sz w:val="24"/>
          <w:szCs w:val="24"/>
        </w:rPr>
        <w:t xml:space="preserve"> servidor</w:t>
      </w:r>
      <w:r w:rsidR="004D37AC">
        <w:rPr>
          <w:rFonts w:ascii="Arial" w:hAnsi="Arial" w:cs="Arial"/>
          <w:b/>
          <w:sz w:val="24"/>
          <w:szCs w:val="24"/>
        </w:rPr>
        <w:t>a Talita Maria Da Rosa, ocupante do cargo efetivo de Farmacêutica, lotada na Secretaria Municipal de Saúde</w:t>
      </w:r>
      <w:r>
        <w:rPr>
          <w:rFonts w:ascii="Arial" w:hAnsi="Arial" w:cs="Arial"/>
          <w:b/>
          <w:sz w:val="24"/>
          <w:szCs w:val="24"/>
        </w:rPr>
        <w:t>.</w:t>
      </w:r>
    </w:p>
    <w:p w:rsidR="00F2672E" w:rsidRDefault="00F2672E" w:rsidP="00F2672E">
      <w:pPr>
        <w:jc w:val="both"/>
        <w:rPr>
          <w:rFonts w:ascii="Arial" w:hAnsi="Arial" w:cs="Arial"/>
          <w:sz w:val="24"/>
          <w:szCs w:val="24"/>
        </w:rPr>
      </w:pPr>
    </w:p>
    <w:p w:rsidR="00F2672E" w:rsidRDefault="00F2672E" w:rsidP="00F2672E">
      <w:pPr>
        <w:jc w:val="both"/>
        <w:rPr>
          <w:rFonts w:ascii="Arial" w:hAnsi="Arial" w:cs="Arial"/>
          <w:b/>
          <w:sz w:val="24"/>
          <w:szCs w:val="24"/>
        </w:rPr>
      </w:pPr>
      <w:r>
        <w:rPr>
          <w:rFonts w:ascii="Arial" w:hAnsi="Arial" w:cs="Arial"/>
          <w:b/>
          <w:sz w:val="24"/>
          <w:szCs w:val="24"/>
        </w:rPr>
        <w:t>CLÁUSULA DÉCIMA - DAS DISPOSIÇÕES FINAIS</w:t>
      </w:r>
    </w:p>
    <w:p w:rsidR="00F2672E" w:rsidRDefault="00F2672E" w:rsidP="00F2672E">
      <w:pPr>
        <w:jc w:val="both"/>
        <w:rPr>
          <w:rFonts w:ascii="Arial" w:hAnsi="Arial" w:cs="Arial"/>
          <w:b/>
          <w:sz w:val="24"/>
          <w:szCs w:val="24"/>
        </w:rPr>
      </w:pPr>
    </w:p>
    <w:p w:rsidR="00F2672E" w:rsidRDefault="00F2672E" w:rsidP="00F2672E">
      <w:pPr>
        <w:jc w:val="both"/>
      </w:pPr>
      <w:r>
        <w:rPr>
          <w:rFonts w:ascii="Arial" w:hAnsi="Arial" w:cs="Arial"/>
          <w:b/>
          <w:sz w:val="24"/>
          <w:szCs w:val="24"/>
        </w:rPr>
        <w:t>10.1</w:t>
      </w:r>
      <w:r>
        <w:rPr>
          <w:rFonts w:ascii="Arial" w:hAnsi="Arial" w:cs="Arial"/>
          <w:sz w:val="24"/>
          <w:szCs w:val="24"/>
        </w:rPr>
        <w:t xml:space="preserve"> Todas as alterações que se fizerem necessárias serão registradas por intermédio de lavratura de termo aditivo à presente Ata de Registro de Preços.</w:t>
      </w:r>
    </w:p>
    <w:p w:rsidR="00F2672E" w:rsidRDefault="00F2672E" w:rsidP="00F2672E">
      <w:pPr>
        <w:jc w:val="both"/>
        <w:rPr>
          <w:rFonts w:ascii="Arial" w:hAnsi="Arial" w:cs="Arial"/>
          <w:sz w:val="24"/>
          <w:szCs w:val="24"/>
        </w:rPr>
      </w:pPr>
    </w:p>
    <w:p w:rsidR="00F2672E" w:rsidRDefault="00F2672E" w:rsidP="00F2672E">
      <w:pPr>
        <w:jc w:val="both"/>
      </w:pPr>
      <w:r>
        <w:rPr>
          <w:rFonts w:ascii="Arial" w:hAnsi="Arial" w:cs="Arial"/>
          <w:b/>
          <w:sz w:val="24"/>
          <w:szCs w:val="24"/>
        </w:rPr>
        <w:t>10.2</w:t>
      </w:r>
      <w:r>
        <w:rPr>
          <w:rFonts w:ascii="Arial" w:hAnsi="Arial" w:cs="Arial"/>
          <w:sz w:val="24"/>
          <w:szCs w:val="24"/>
        </w:rPr>
        <w:t xml:space="preserve"> Os casos omissos serão resolvidos pelas partes em comum acordo, por meio de termo aditivo, em conformidade com a Lei n. 8.666/93.</w:t>
      </w:r>
    </w:p>
    <w:p w:rsidR="00F2672E" w:rsidRDefault="00F2672E" w:rsidP="00F2672E">
      <w:pPr>
        <w:jc w:val="both"/>
        <w:rPr>
          <w:rFonts w:ascii="Arial" w:hAnsi="Arial" w:cs="Arial"/>
          <w:sz w:val="24"/>
          <w:szCs w:val="24"/>
        </w:rPr>
      </w:pPr>
    </w:p>
    <w:p w:rsidR="00F2672E" w:rsidRDefault="00F2672E" w:rsidP="00F2672E">
      <w:pPr>
        <w:jc w:val="both"/>
      </w:pPr>
      <w:r>
        <w:rPr>
          <w:rFonts w:ascii="Arial" w:hAnsi="Arial" w:cs="Arial"/>
          <w:b/>
          <w:sz w:val="24"/>
          <w:szCs w:val="24"/>
        </w:rPr>
        <w:t>10.3.</w:t>
      </w:r>
      <w:r>
        <w:rPr>
          <w:rFonts w:ascii="Arial" w:hAnsi="Arial" w:cs="Arial"/>
          <w:sz w:val="24"/>
          <w:szCs w:val="24"/>
        </w:rPr>
        <w:t xml:space="preserve"> O extrato da presente Ata, bem como do contrato ou outro instrumento hábil, será publicado no Diário Oficial dos Municípios.</w:t>
      </w:r>
    </w:p>
    <w:p w:rsidR="00F2672E" w:rsidRDefault="00F2672E" w:rsidP="00F2672E">
      <w:pPr>
        <w:rPr>
          <w:rFonts w:ascii="Arial" w:hAnsi="Arial" w:cs="Arial"/>
          <w:sz w:val="22"/>
          <w:szCs w:val="22"/>
        </w:rPr>
      </w:pPr>
    </w:p>
    <w:p w:rsidR="00F2672E" w:rsidRDefault="00F2672E" w:rsidP="00F2672E">
      <w:pPr>
        <w:rPr>
          <w:rFonts w:ascii="Arial" w:hAnsi="Arial" w:cs="Arial"/>
          <w:b/>
          <w:bCs/>
          <w:sz w:val="22"/>
          <w:szCs w:val="22"/>
        </w:rPr>
      </w:pPr>
      <w:r>
        <w:rPr>
          <w:rFonts w:ascii="Arial" w:hAnsi="Arial" w:cs="Arial"/>
          <w:b/>
          <w:bCs/>
          <w:sz w:val="22"/>
          <w:szCs w:val="22"/>
        </w:rPr>
        <w:t xml:space="preserve">DO FORO </w:t>
      </w:r>
    </w:p>
    <w:p w:rsidR="00F2672E" w:rsidRDefault="00F2672E" w:rsidP="00F2672E">
      <w:pPr>
        <w:rPr>
          <w:rFonts w:ascii="Arial" w:hAnsi="Arial" w:cs="Arial"/>
          <w:b/>
          <w:bCs/>
          <w:sz w:val="22"/>
          <w:szCs w:val="22"/>
        </w:rPr>
      </w:pPr>
    </w:p>
    <w:p w:rsidR="00F2672E" w:rsidRDefault="00F2672E" w:rsidP="00F2672E">
      <w:pPr>
        <w:jc w:val="both"/>
        <w:rPr>
          <w:rFonts w:ascii="Arial" w:hAnsi="Arial" w:cs="Arial"/>
          <w:sz w:val="24"/>
          <w:szCs w:val="24"/>
        </w:rPr>
      </w:pPr>
      <w:r>
        <w:rPr>
          <w:rFonts w:ascii="Arial" w:hAnsi="Arial" w:cs="Arial"/>
          <w:sz w:val="24"/>
          <w:szCs w:val="24"/>
        </w:rPr>
        <w:t>Para dirimir conflitos oriundos desta ata de registro de preços, é competente o Foro da Comarca de Tangará-SC.</w:t>
      </w:r>
    </w:p>
    <w:p w:rsidR="00F2672E" w:rsidRDefault="00F2672E" w:rsidP="00F2672E">
      <w:pPr>
        <w:jc w:val="both"/>
        <w:rPr>
          <w:rFonts w:ascii="Arial" w:hAnsi="Arial" w:cs="Arial"/>
          <w:sz w:val="24"/>
          <w:szCs w:val="24"/>
        </w:rPr>
      </w:pPr>
    </w:p>
    <w:p w:rsidR="00F2672E" w:rsidRDefault="00F2672E" w:rsidP="00F2672E">
      <w:pPr>
        <w:jc w:val="both"/>
        <w:rPr>
          <w:rFonts w:ascii="Arial" w:hAnsi="Arial" w:cs="Arial"/>
          <w:sz w:val="24"/>
          <w:szCs w:val="24"/>
        </w:rPr>
      </w:pPr>
    </w:p>
    <w:p w:rsidR="00F2672E" w:rsidRDefault="00F2672E" w:rsidP="00F2672E">
      <w:pPr>
        <w:jc w:val="both"/>
        <w:rPr>
          <w:rFonts w:ascii="Arial" w:hAnsi="Arial" w:cs="Arial"/>
          <w:sz w:val="24"/>
          <w:szCs w:val="24"/>
        </w:rPr>
      </w:pPr>
    </w:p>
    <w:p w:rsidR="00F2672E" w:rsidRDefault="00F2672E" w:rsidP="00F2672E">
      <w:pPr>
        <w:jc w:val="both"/>
        <w:rPr>
          <w:rFonts w:ascii="Arial" w:hAnsi="Arial" w:cs="Arial"/>
          <w:sz w:val="24"/>
          <w:szCs w:val="24"/>
        </w:rPr>
      </w:pPr>
    </w:p>
    <w:p w:rsidR="00F2672E" w:rsidRDefault="00F2672E" w:rsidP="00F2672E">
      <w:pPr>
        <w:jc w:val="both"/>
        <w:rPr>
          <w:rFonts w:ascii="Arial" w:hAnsi="Arial" w:cs="Arial"/>
          <w:sz w:val="24"/>
          <w:szCs w:val="24"/>
        </w:rPr>
      </w:pPr>
    </w:p>
    <w:p w:rsidR="00F2672E" w:rsidRDefault="00F2672E" w:rsidP="00F2672E">
      <w:pPr>
        <w:jc w:val="center"/>
        <w:rPr>
          <w:rFonts w:ascii="Arial" w:hAnsi="Arial" w:cs="Arial"/>
          <w:sz w:val="24"/>
          <w:szCs w:val="24"/>
        </w:rPr>
      </w:pPr>
      <w:r>
        <w:rPr>
          <w:rFonts w:ascii="Arial" w:hAnsi="Arial" w:cs="Arial"/>
          <w:sz w:val="24"/>
          <w:szCs w:val="24"/>
        </w:rPr>
        <w:t xml:space="preserve">Pinheiro Preto - SC, </w:t>
      </w:r>
      <w:r w:rsidR="004D37AC">
        <w:rPr>
          <w:rFonts w:ascii="Arial" w:hAnsi="Arial" w:cs="Arial"/>
          <w:sz w:val="24"/>
          <w:szCs w:val="24"/>
        </w:rPr>
        <w:t>08</w:t>
      </w:r>
      <w:r>
        <w:rPr>
          <w:rFonts w:ascii="Arial" w:hAnsi="Arial" w:cs="Arial"/>
          <w:sz w:val="24"/>
          <w:szCs w:val="24"/>
        </w:rPr>
        <w:t xml:space="preserve"> de</w:t>
      </w:r>
      <w:r w:rsidR="004D37AC">
        <w:rPr>
          <w:rFonts w:ascii="Arial" w:hAnsi="Arial" w:cs="Arial"/>
          <w:sz w:val="24"/>
          <w:szCs w:val="24"/>
        </w:rPr>
        <w:t xml:space="preserve"> julho </w:t>
      </w:r>
      <w:r>
        <w:rPr>
          <w:rFonts w:ascii="Arial" w:hAnsi="Arial" w:cs="Arial"/>
          <w:sz w:val="24"/>
          <w:szCs w:val="24"/>
        </w:rPr>
        <w:t>de 2019.</w:t>
      </w:r>
    </w:p>
    <w:p w:rsidR="00F2672E" w:rsidRDefault="00F2672E" w:rsidP="00F2672E">
      <w:pPr>
        <w:jc w:val="center"/>
        <w:rPr>
          <w:rFonts w:ascii="Arial" w:hAnsi="Arial" w:cs="Arial"/>
          <w:sz w:val="24"/>
          <w:szCs w:val="24"/>
        </w:rPr>
      </w:pPr>
    </w:p>
    <w:p w:rsidR="00F2672E" w:rsidRDefault="00F2672E" w:rsidP="00F2672E">
      <w:pPr>
        <w:jc w:val="center"/>
        <w:rPr>
          <w:rFonts w:ascii="Arial" w:hAnsi="Arial" w:cs="Arial"/>
          <w:sz w:val="24"/>
          <w:szCs w:val="24"/>
        </w:rPr>
      </w:pPr>
    </w:p>
    <w:p w:rsidR="00F2672E" w:rsidRDefault="00F2672E" w:rsidP="00F2672E">
      <w:pPr>
        <w:jc w:val="center"/>
        <w:rPr>
          <w:rFonts w:ascii="Arial" w:hAnsi="Arial" w:cs="Arial"/>
          <w:sz w:val="24"/>
          <w:szCs w:val="24"/>
        </w:rPr>
      </w:pPr>
    </w:p>
    <w:p w:rsidR="00F2672E" w:rsidRDefault="00F2672E" w:rsidP="00F2672E">
      <w:pPr>
        <w:jc w:val="center"/>
        <w:rPr>
          <w:rFonts w:ascii="Arial" w:hAnsi="Arial" w:cs="Arial"/>
          <w:sz w:val="24"/>
          <w:szCs w:val="24"/>
        </w:rPr>
      </w:pPr>
    </w:p>
    <w:tbl>
      <w:tblPr>
        <w:tblW w:w="8865" w:type="dxa"/>
        <w:tblCellSpacing w:w="0" w:type="dxa"/>
        <w:tblCellMar>
          <w:top w:w="75" w:type="dxa"/>
          <w:left w:w="75" w:type="dxa"/>
          <w:bottom w:w="75" w:type="dxa"/>
          <w:right w:w="75" w:type="dxa"/>
        </w:tblCellMar>
        <w:tblLook w:val="04A0" w:firstRow="1" w:lastRow="0" w:firstColumn="1" w:lastColumn="0" w:noHBand="0" w:noVBand="1"/>
      </w:tblPr>
      <w:tblGrid>
        <w:gridCol w:w="4145"/>
        <w:gridCol w:w="4720"/>
      </w:tblGrid>
      <w:tr w:rsidR="004D37AC" w:rsidRPr="004D37AC" w:rsidTr="004D37AC">
        <w:trPr>
          <w:tblCellSpacing w:w="0" w:type="dxa"/>
        </w:trPr>
        <w:tc>
          <w:tcPr>
            <w:tcW w:w="4005" w:type="dxa"/>
            <w:tcBorders>
              <w:top w:val="nil"/>
              <w:left w:val="nil"/>
              <w:bottom w:val="nil"/>
              <w:right w:val="nil"/>
            </w:tcBorders>
            <w:shd w:val="clear" w:color="auto" w:fill="FFFFFF"/>
            <w:tcMar>
              <w:top w:w="0" w:type="dxa"/>
              <w:left w:w="0" w:type="dxa"/>
              <w:bottom w:w="0" w:type="dxa"/>
              <w:right w:w="0" w:type="dxa"/>
            </w:tcMar>
            <w:hideMark/>
          </w:tcPr>
          <w:p w:rsidR="004D37AC" w:rsidRPr="004D37AC" w:rsidRDefault="004D37AC" w:rsidP="004D37AC">
            <w:pPr>
              <w:suppressAutoHyphens w:val="0"/>
              <w:autoSpaceDE/>
              <w:spacing w:before="100" w:beforeAutospacing="1" w:after="142" w:line="276" w:lineRule="auto"/>
              <w:jc w:val="center"/>
              <w:rPr>
                <w:sz w:val="24"/>
                <w:szCs w:val="24"/>
                <w:lang w:eastAsia="pt-BR"/>
              </w:rPr>
            </w:pPr>
            <w:r w:rsidRPr="004D37AC">
              <w:rPr>
                <w:rFonts w:ascii="Arial" w:hAnsi="Arial" w:cs="Arial"/>
                <w:sz w:val="24"/>
                <w:szCs w:val="24"/>
                <w:lang w:eastAsia="pt-BR"/>
              </w:rPr>
              <w:t>MUNICÍPIO DE PINHEIRO PRETO</w:t>
            </w:r>
          </w:p>
        </w:tc>
        <w:tc>
          <w:tcPr>
            <w:tcW w:w="4560" w:type="dxa"/>
            <w:tcBorders>
              <w:top w:val="nil"/>
              <w:left w:val="nil"/>
              <w:bottom w:val="nil"/>
              <w:right w:val="nil"/>
            </w:tcBorders>
            <w:shd w:val="clear" w:color="auto" w:fill="FFFFFF"/>
            <w:tcMar>
              <w:top w:w="0" w:type="dxa"/>
              <w:left w:w="0" w:type="dxa"/>
              <w:bottom w:w="0" w:type="dxa"/>
              <w:right w:w="0" w:type="dxa"/>
            </w:tcMar>
            <w:hideMark/>
          </w:tcPr>
          <w:p w:rsidR="004D37AC" w:rsidRPr="004D37AC" w:rsidRDefault="009C038F" w:rsidP="004D37AC">
            <w:pPr>
              <w:suppressAutoHyphens w:val="0"/>
              <w:autoSpaceDE/>
              <w:spacing w:before="100" w:beforeAutospacing="1" w:after="142" w:line="276" w:lineRule="auto"/>
              <w:jc w:val="center"/>
              <w:rPr>
                <w:sz w:val="24"/>
                <w:szCs w:val="24"/>
                <w:lang w:eastAsia="pt-BR"/>
              </w:rPr>
            </w:pPr>
            <w:r>
              <w:rPr>
                <w:rFonts w:ascii="Arial" w:hAnsi="Arial" w:cs="Arial"/>
                <w:sz w:val="24"/>
                <w:szCs w:val="24"/>
                <w:lang w:eastAsia="pt-BR"/>
              </w:rPr>
              <w:t>NANDIS COMÉRCIO DE GASES ATMOSFÉRICOS LTDA EPP</w:t>
            </w:r>
          </w:p>
        </w:tc>
      </w:tr>
      <w:tr w:rsidR="004D37AC" w:rsidRPr="004D37AC" w:rsidTr="004D37AC">
        <w:trPr>
          <w:tblCellSpacing w:w="0" w:type="dxa"/>
        </w:trPr>
        <w:tc>
          <w:tcPr>
            <w:tcW w:w="4005" w:type="dxa"/>
            <w:tcBorders>
              <w:top w:val="nil"/>
              <w:left w:val="nil"/>
              <w:bottom w:val="nil"/>
              <w:right w:val="nil"/>
            </w:tcBorders>
            <w:shd w:val="clear" w:color="auto" w:fill="FFFFFF"/>
            <w:tcMar>
              <w:top w:w="0" w:type="dxa"/>
              <w:left w:w="0" w:type="dxa"/>
              <w:bottom w:w="0" w:type="dxa"/>
              <w:right w:w="0" w:type="dxa"/>
            </w:tcMar>
            <w:hideMark/>
          </w:tcPr>
          <w:p w:rsidR="004D37AC" w:rsidRPr="004D37AC" w:rsidRDefault="004D37AC" w:rsidP="004D37AC">
            <w:pPr>
              <w:suppressAutoHyphens w:val="0"/>
              <w:autoSpaceDE/>
              <w:spacing w:before="100" w:beforeAutospacing="1" w:after="142" w:line="276" w:lineRule="auto"/>
              <w:jc w:val="center"/>
              <w:rPr>
                <w:sz w:val="24"/>
                <w:szCs w:val="24"/>
                <w:lang w:eastAsia="pt-BR"/>
              </w:rPr>
            </w:pPr>
            <w:r w:rsidRPr="004D37AC">
              <w:rPr>
                <w:rFonts w:ascii="Arial" w:hAnsi="Arial" w:cs="Arial"/>
                <w:sz w:val="24"/>
                <w:szCs w:val="24"/>
                <w:lang w:eastAsia="pt-BR"/>
              </w:rPr>
              <w:t>PEDRO RABUSKE</w:t>
            </w:r>
          </w:p>
        </w:tc>
        <w:tc>
          <w:tcPr>
            <w:tcW w:w="4560" w:type="dxa"/>
            <w:tcBorders>
              <w:top w:val="nil"/>
              <w:left w:val="nil"/>
              <w:bottom w:val="nil"/>
              <w:right w:val="nil"/>
            </w:tcBorders>
            <w:shd w:val="clear" w:color="auto" w:fill="FFFFFF"/>
            <w:tcMar>
              <w:top w:w="0" w:type="dxa"/>
              <w:left w:w="0" w:type="dxa"/>
              <w:bottom w:w="0" w:type="dxa"/>
              <w:right w:w="0" w:type="dxa"/>
            </w:tcMar>
            <w:hideMark/>
          </w:tcPr>
          <w:p w:rsidR="004D37AC" w:rsidRPr="004D37AC" w:rsidRDefault="004D37AC" w:rsidP="004D37AC">
            <w:pPr>
              <w:suppressAutoHyphens w:val="0"/>
              <w:autoSpaceDE/>
              <w:spacing w:before="100" w:beforeAutospacing="1" w:after="142" w:line="276" w:lineRule="auto"/>
              <w:jc w:val="center"/>
              <w:rPr>
                <w:sz w:val="24"/>
                <w:szCs w:val="24"/>
                <w:lang w:eastAsia="pt-BR"/>
              </w:rPr>
            </w:pPr>
            <w:r w:rsidRPr="004D37AC">
              <w:rPr>
                <w:rFonts w:ascii="Arial" w:hAnsi="Arial" w:cs="Arial"/>
                <w:sz w:val="24"/>
                <w:szCs w:val="24"/>
                <w:lang w:eastAsia="pt-BR"/>
              </w:rPr>
              <w:t>Representante</w:t>
            </w:r>
          </w:p>
        </w:tc>
      </w:tr>
      <w:tr w:rsidR="004D37AC" w:rsidRPr="004D37AC" w:rsidTr="004D37AC">
        <w:trPr>
          <w:tblCellSpacing w:w="0" w:type="dxa"/>
        </w:trPr>
        <w:tc>
          <w:tcPr>
            <w:tcW w:w="4005" w:type="dxa"/>
            <w:tcBorders>
              <w:top w:val="nil"/>
              <w:left w:val="nil"/>
              <w:bottom w:val="nil"/>
              <w:right w:val="nil"/>
            </w:tcBorders>
            <w:shd w:val="clear" w:color="auto" w:fill="FFFFFF"/>
            <w:tcMar>
              <w:top w:w="0" w:type="dxa"/>
              <w:left w:w="0" w:type="dxa"/>
              <w:bottom w:w="0" w:type="dxa"/>
              <w:right w:w="0" w:type="dxa"/>
            </w:tcMar>
            <w:hideMark/>
          </w:tcPr>
          <w:p w:rsidR="004D37AC" w:rsidRPr="004D37AC" w:rsidRDefault="004D37AC" w:rsidP="004D37AC">
            <w:pPr>
              <w:suppressAutoHyphens w:val="0"/>
              <w:autoSpaceDE/>
              <w:spacing w:before="100" w:beforeAutospacing="1" w:after="142" w:line="276" w:lineRule="auto"/>
              <w:jc w:val="center"/>
              <w:rPr>
                <w:sz w:val="24"/>
                <w:szCs w:val="24"/>
                <w:lang w:eastAsia="pt-BR"/>
              </w:rPr>
            </w:pPr>
            <w:r w:rsidRPr="004D37AC">
              <w:rPr>
                <w:rFonts w:ascii="Arial" w:hAnsi="Arial" w:cs="Arial"/>
                <w:sz w:val="24"/>
                <w:szCs w:val="24"/>
                <w:lang w:eastAsia="pt-BR"/>
              </w:rPr>
              <w:t>Prefeito Municipal</w:t>
            </w:r>
          </w:p>
        </w:tc>
        <w:tc>
          <w:tcPr>
            <w:tcW w:w="4560" w:type="dxa"/>
            <w:tcBorders>
              <w:top w:val="nil"/>
              <w:left w:val="nil"/>
              <w:bottom w:val="nil"/>
              <w:right w:val="nil"/>
            </w:tcBorders>
            <w:shd w:val="clear" w:color="auto" w:fill="FFFFFF"/>
            <w:tcMar>
              <w:top w:w="0" w:type="dxa"/>
              <w:left w:w="0" w:type="dxa"/>
              <w:bottom w:w="0" w:type="dxa"/>
              <w:right w:w="0" w:type="dxa"/>
            </w:tcMar>
            <w:hideMark/>
          </w:tcPr>
          <w:p w:rsidR="004D37AC" w:rsidRPr="004D37AC" w:rsidRDefault="004D37AC" w:rsidP="004D37AC">
            <w:pPr>
              <w:suppressAutoHyphens w:val="0"/>
              <w:autoSpaceDE/>
              <w:spacing w:before="100" w:beforeAutospacing="1" w:after="142" w:line="276" w:lineRule="auto"/>
              <w:jc w:val="center"/>
              <w:rPr>
                <w:sz w:val="24"/>
                <w:szCs w:val="24"/>
                <w:lang w:eastAsia="pt-BR"/>
              </w:rPr>
            </w:pPr>
          </w:p>
        </w:tc>
      </w:tr>
    </w:tbl>
    <w:p w:rsidR="009C038F" w:rsidRPr="009C038F" w:rsidRDefault="00F2672E" w:rsidP="009C038F">
      <w:pPr>
        <w:pStyle w:val="NormalWeb"/>
        <w:spacing w:after="0" w:line="240" w:lineRule="auto"/>
      </w:pPr>
      <w:r>
        <w:rPr>
          <w:rFonts w:ascii="Arial" w:eastAsia="Arial" w:hAnsi="Arial" w:cs="Arial"/>
        </w:rPr>
        <w:t xml:space="preserve">        </w:t>
      </w:r>
      <w:r w:rsidR="009C038F" w:rsidRPr="009C038F">
        <w:rPr>
          <w:rFonts w:ascii="Arial" w:hAnsi="Arial" w:cs="Arial"/>
        </w:rPr>
        <w:t>Testemunhas:</w:t>
      </w:r>
    </w:p>
    <w:p w:rsidR="009C038F" w:rsidRPr="009C038F" w:rsidRDefault="009C038F" w:rsidP="009C038F">
      <w:pPr>
        <w:pStyle w:val="NormalWeb"/>
        <w:spacing w:after="0" w:line="240" w:lineRule="auto"/>
        <w:ind w:right="23"/>
      </w:pPr>
    </w:p>
    <w:p w:rsidR="009C038F" w:rsidRPr="009C038F" w:rsidRDefault="009C038F" w:rsidP="009C038F">
      <w:pPr>
        <w:pStyle w:val="NormalWeb"/>
        <w:spacing w:after="0" w:line="240" w:lineRule="auto"/>
        <w:ind w:right="23"/>
      </w:pPr>
    </w:p>
    <w:p w:rsidR="009C038F" w:rsidRPr="009C038F" w:rsidRDefault="009C038F" w:rsidP="009C038F">
      <w:pPr>
        <w:pStyle w:val="NormalWeb"/>
        <w:spacing w:after="0" w:line="240" w:lineRule="auto"/>
        <w:ind w:right="23"/>
      </w:pPr>
    </w:p>
    <w:p w:rsidR="009C038F" w:rsidRPr="009C038F" w:rsidRDefault="009C038F" w:rsidP="009C038F">
      <w:pPr>
        <w:pStyle w:val="NormalWeb"/>
        <w:spacing w:after="0" w:line="240" w:lineRule="auto"/>
        <w:ind w:right="23"/>
      </w:pPr>
    </w:p>
    <w:p w:rsidR="009C038F" w:rsidRPr="009C038F" w:rsidRDefault="009C038F" w:rsidP="009C038F">
      <w:pPr>
        <w:pStyle w:val="NormalWeb"/>
        <w:spacing w:after="0" w:line="240" w:lineRule="auto"/>
        <w:ind w:right="23"/>
      </w:pPr>
      <w:r w:rsidRPr="009C038F">
        <w:rPr>
          <w:rFonts w:ascii="Arial" w:hAnsi="Arial" w:cs="Arial"/>
        </w:rPr>
        <w:t>1- __________________________________</w:t>
      </w:r>
      <w:r w:rsidR="00DA78FA">
        <w:rPr>
          <w:rFonts w:ascii="Arial" w:hAnsi="Arial" w:cs="Arial"/>
        </w:rPr>
        <w:t>___________________________</w:t>
      </w:r>
    </w:p>
    <w:p w:rsidR="00DA78FA" w:rsidRDefault="009C038F" w:rsidP="009C038F">
      <w:pPr>
        <w:pStyle w:val="NormalWeb"/>
        <w:spacing w:after="0" w:line="240" w:lineRule="auto"/>
        <w:ind w:right="23"/>
        <w:rPr>
          <w:rFonts w:ascii="Arial" w:hAnsi="Arial" w:cs="Arial"/>
        </w:rPr>
      </w:pPr>
      <w:r w:rsidRPr="009C038F">
        <w:rPr>
          <w:rFonts w:ascii="Arial" w:hAnsi="Arial" w:cs="Arial"/>
        </w:rPr>
        <w:t xml:space="preserve">Nome: </w:t>
      </w:r>
    </w:p>
    <w:p w:rsidR="009C038F" w:rsidRPr="009C038F" w:rsidRDefault="009C038F" w:rsidP="009C038F">
      <w:pPr>
        <w:pStyle w:val="NormalWeb"/>
        <w:spacing w:after="0" w:line="240" w:lineRule="auto"/>
        <w:ind w:right="23"/>
      </w:pPr>
      <w:r w:rsidRPr="009C038F">
        <w:rPr>
          <w:rFonts w:ascii="Arial" w:hAnsi="Arial" w:cs="Arial"/>
        </w:rPr>
        <w:t>CPF:</w:t>
      </w:r>
    </w:p>
    <w:p w:rsidR="009C038F" w:rsidRPr="009C038F" w:rsidRDefault="009C038F" w:rsidP="009C038F">
      <w:pPr>
        <w:pStyle w:val="NormalWeb"/>
        <w:spacing w:after="0" w:line="240" w:lineRule="auto"/>
        <w:ind w:right="23"/>
      </w:pPr>
    </w:p>
    <w:p w:rsidR="009C038F" w:rsidRPr="009C038F" w:rsidRDefault="009C038F" w:rsidP="009C038F">
      <w:pPr>
        <w:pStyle w:val="NormalWeb"/>
        <w:spacing w:after="0" w:line="240" w:lineRule="auto"/>
        <w:ind w:right="23"/>
      </w:pPr>
      <w:r w:rsidRPr="009C038F">
        <w:rPr>
          <w:rFonts w:ascii="Arial" w:hAnsi="Arial" w:cs="Arial"/>
        </w:rPr>
        <w:t>2- ___________________________________</w:t>
      </w:r>
      <w:r w:rsidR="00DA78FA">
        <w:rPr>
          <w:rFonts w:ascii="Arial" w:hAnsi="Arial" w:cs="Arial"/>
        </w:rPr>
        <w:t>___________________________</w:t>
      </w:r>
    </w:p>
    <w:p w:rsidR="00DA78FA" w:rsidRDefault="009C038F" w:rsidP="009C038F">
      <w:pPr>
        <w:pStyle w:val="NormalWeb"/>
        <w:spacing w:after="0" w:line="240" w:lineRule="auto"/>
        <w:rPr>
          <w:rFonts w:ascii="Arial" w:hAnsi="Arial" w:cs="Arial"/>
        </w:rPr>
      </w:pPr>
      <w:r w:rsidRPr="009C038F">
        <w:rPr>
          <w:rFonts w:ascii="Arial" w:hAnsi="Arial" w:cs="Arial"/>
        </w:rPr>
        <w:t>Nome:</w:t>
      </w:r>
    </w:p>
    <w:p w:rsidR="009C038F" w:rsidRPr="009C038F" w:rsidRDefault="009C038F" w:rsidP="009C038F">
      <w:pPr>
        <w:pStyle w:val="NormalWeb"/>
        <w:spacing w:after="0" w:line="240" w:lineRule="auto"/>
      </w:pPr>
      <w:r w:rsidRPr="009C038F">
        <w:rPr>
          <w:rFonts w:ascii="Arial" w:hAnsi="Arial" w:cs="Arial"/>
        </w:rPr>
        <w:t xml:space="preserve"> CPF</w:t>
      </w:r>
      <w:r w:rsidR="00DA78FA">
        <w:rPr>
          <w:rFonts w:ascii="Arial" w:hAnsi="Arial" w:cs="Arial"/>
        </w:rPr>
        <w:t>:</w:t>
      </w:r>
      <w:bookmarkStart w:id="0" w:name="_GoBack"/>
      <w:bookmarkEnd w:id="0"/>
    </w:p>
    <w:p w:rsidR="004D37AC" w:rsidRPr="009C038F" w:rsidRDefault="004D37AC" w:rsidP="00F2672E">
      <w:pPr>
        <w:jc w:val="center"/>
        <w:rPr>
          <w:rFonts w:ascii="Arial" w:eastAsia="Arial" w:hAnsi="Arial" w:cs="Arial"/>
          <w:sz w:val="24"/>
          <w:szCs w:val="24"/>
        </w:rPr>
      </w:pPr>
    </w:p>
    <w:sectPr w:rsidR="004D37AC" w:rsidRPr="009C038F">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60D" w:rsidRDefault="00C9260D" w:rsidP="00F2672E">
      <w:r>
        <w:separator/>
      </w:r>
    </w:p>
  </w:endnote>
  <w:endnote w:type="continuationSeparator" w:id="0">
    <w:p w:rsidR="00C9260D" w:rsidRDefault="00C9260D" w:rsidP="00F26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바탕">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60D" w:rsidRDefault="00C9260D" w:rsidP="00F2672E">
      <w:r>
        <w:separator/>
      </w:r>
    </w:p>
  </w:footnote>
  <w:footnote w:type="continuationSeparator" w:id="0">
    <w:p w:rsidR="00C9260D" w:rsidRDefault="00C9260D" w:rsidP="00F26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72E" w:rsidRDefault="00F2672E" w:rsidP="00F2672E">
    <w:pPr>
      <w:pStyle w:val="Cabealho"/>
      <w:tabs>
        <w:tab w:val="left" w:pos="2190"/>
      </w:tabs>
    </w:pPr>
    <w:r>
      <w:rPr>
        <w:noProof/>
        <w:lang w:eastAsia="pt-BR"/>
      </w:rPr>
      <w:drawing>
        <wp:anchor distT="0" distB="0" distL="114300" distR="114300" simplePos="0" relativeHeight="251659264" behindDoc="0" locked="0" layoutInCell="1" allowOverlap="1" wp14:anchorId="20FB5ED5" wp14:editId="6671E00D">
          <wp:simplePos x="0" y="0"/>
          <wp:positionH relativeFrom="margin">
            <wp:posOffset>1228725</wp:posOffset>
          </wp:positionH>
          <wp:positionV relativeFrom="margin">
            <wp:posOffset>-728980</wp:posOffset>
          </wp:positionV>
          <wp:extent cx="436245" cy="621030"/>
          <wp:effectExtent l="0" t="0" r="1905" b="7620"/>
          <wp:wrapNone/>
          <wp:docPr id="2" name="Imagem 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rsidR="00F2672E" w:rsidRPr="006C273A" w:rsidRDefault="00F2672E" w:rsidP="00F2672E">
    <w:pPr>
      <w:pStyle w:val="Cabealho"/>
      <w:jc w:val="center"/>
      <w:rPr>
        <w:rFonts w:ascii="Arial" w:hAnsi="Arial" w:cs="Arial"/>
        <w:sz w:val="24"/>
        <w:szCs w:val="24"/>
      </w:rPr>
    </w:pPr>
    <w:r w:rsidRPr="006C273A">
      <w:rPr>
        <w:rFonts w:ascii="Arial" w:hAnsi="Arial" w:cs="Arial"/>
        <w:sz w:val="24"/>
        <w:szCs w:val="24"/>
      </w:rPr>
      <w:t>Estado de Santa Catarina</w:t>
    </w:r>
  </w:p>
  <w:p w:rsidR="00F2672E" w:rsidRDefault="00F2672E" w:rsidP="00F2672E">
    <w:pPr>
      <w:pStyle w:val="Cabealho"/>
      <w:jc w:val="center"/>
    </w:pPr>
    <w:r w:rsidRPr="006C273A">
      <w:rPr>
        <w:rFonts w:ascii="Arial" w:hAnsi="Arial" w:cs="Arial"/>
        <w:sz w:val="24"/>
        <w:szCs w:val="24"/>
      </w:rPr>
      <w:t>Município de Pinheiro Preto</w:t>
    </w:r>
  </w:p>
  <w:p w:rsidR="00F2672E" w:rsidRDefault="00F2672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72E"/>
    <w:rsid w:val="004D37AC"/>
    <w:rsid w:val="00697BAC"/>
    <w:rsid w:val="009C038F"/>
    <w:rsid w:val="00C9260D"/>
    <w:rsid w:val="00DA78FA"/>
    <w:rsid w:val="00F267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DDCFC3-8C83-4E8C-BDDE-E468C8F00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72E"/>
    <w:pPr>
      <w:suppressAutoHyphens/>
      <w:autoSpaceDE w:val="0"/>
      <w:spacing w:after="0" w:line="240" w:lineRule="auto"/>
    </w:pPr>
    <w:rPr>
      <w:rFonts w:ascii="Times New Roman" w:eastAsia="Times New Roman" w:hAnsi="Times New Roman" w:cs="Times New Roman"/>
      <w:sz w:val="2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F2672E"/>
    <w:pPr>
      <w:spacing w:after="120"/>
      <w:ind w:left="283"/>
    </w:pPr>
  </w:style>
  <w:style w:type="character" w:customStyle="1" w:styleId="RecuodecorpodetextoChar">
    <w:name w:val="Recuo de corpo de texto Char"/>
    <w:basedOn w:val="Fontepargpadro"/>
    <w:link w:val="Recuodecorpodetexto"/>
    <w:rsid w:val="00F2672E"/>
    <w:rPr>
      <w:rFonts w:ascii="Times New Roman" w:eastAsia="Times New Roman" w:hAnsi="Times New Roman" w:cs="Times New Roman"/>
      <w:sz w:val="20"/>
      <w:szCs w:val="20"/>
      <w:lang w:eastAsia="zh-CN"/>
    </w:rPr>
  </w:style>
  <w:style w:type="paragraph" w:styleId="Cabealho">
    <w:name w:val="header"/>
    <w:basedOn w:val="Normal"/>
    <w:link w:val="CabealhoChar"/>
    <w:unhideWhenUsed/>
    <w:qFormat/>
    <w:rsid w:val="00F2672E"/>
    <w:pPr>
      <w:tabs>
        <w:tab w:val="center" w:pos="4252"/>
        <w:tab w:val="right" w:pos="8504"/>
      </w:tabs>
    </w:pPr>
  </w:style>
  <w:style w:type="character" w:customStyle="1" w:styleId="CabealhoChar">
    <w:name w:val="Cabeçalho Char"/>
    <w:basedOn w:val="Fontepargpadro"/>
    <w:link w:val="Cabealho"/>
    <w:uiPriority w:val="99"/>
    <w:rsid w:val="00F2672E"/>
    <w:rPr>
      <w:rFonts w:ascii="Times New Roman" w:eastAsia="Times New Roman" w:hAnsi="Times New Roman" w:cs="Times New Roman"/>
      <w:sz w:val="20"/>
      <w:szCs w:val="20"/>
      <w:lang w:eastAsia="zh-CN"/>
    </w:rPr>
  </w:style>
  <w:style w:type="paragraph" w:styleId="Rodap">
    <w:name w:val="footer"/>
    <w:basedOn w:val="Normal"/>
    <w:link w:val="RodapChar"/>
    <w:uiPriority w:val="99"/>
    <w:unhideWhenUsed/>
    <w:rsid w:val="00F2672E"/>
    <w:pPr>
      <w:tabs>
        <w:tab w:val="center" w:pos="4252"/>
        <w:tab w:val="right" w:pos="8504"/>
      </w:tabs>
    </w:pPr>
  </w:style>
  <w:style w:type="character" w:customStyle="1" w:styleId="RodapChar">
    <w:name w:val="Rodapé Char"/>
    <w:basedOn w:val="Fontepargpadro"/>
    <w:link w:val="Rodap"/>
    <w:uiPriority w:val="99"/>
    <w:rsid w:val="00F2672E"/>
    <w:rPr>
      <w:rFonts w:ascii="Times New Roman" w:eastAsia="Times New Roman" w:hAnsi="Times New Roman" w:cs="Times New Roman"/>
      <w:sz w:val="20"/>
      <w:szCs w:val="20"/>
      <w:lang w:eastAsia="zh-CN"/>
    </w:rPr>
  </w:style>
  <w:style w:type="paragraph" w:styleId="NormalWeb">
    <w:name w:val="Normal (Web)"/>
    <w:basedOn w:val="Normal"/>
    <w:uiPriority w:val="99"/>
    <w:semiHidden/>
    <w:unhideWhenUsed/>
    <w:rsid w:val="004D37AC"/>
    <w:pPr>
      <w:suppressAutoHyphens w:val="0"/>
      <w:autoSpaceDE/>
      <w:spacing w:before="100" w:beforeAutospacing="1" w:after="142" w:line="276" w:lineRule="auto"/>
    </w:pPr>
    <w:rPr>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126746">
      <w:bodyDiv w:val="1"/>
      <w:marLeft w:val="0"/>
      <w:marRight w:val="0"/>
      <w:marTop w:val="0"/>
      <w:marBottom w:val="0"/>
      <w:divBdr>
        <w:top w:val="none" w:sz="0" w:space="0" w:color="auto"/>
        <w:left w:val="none" w:sz="0" w:space="0" w:color="auto"/>
        <w:bottom w:val="none" w:sz="0" w:space="0" w:color="auto"/>
        <w:right w:val="none" w:sz="0" w:space="0" w:color="auto"/>
      </w:divBdr>
    </w:div>
    <w:div w:id="1461800268">
      <w:bodyDiv w:val="1"/>
      <w:marLeft w:val="0"/>
      <w:marRight w:val="0"/>
      <w:marTop w:val="0"/>
      <w:marBottom w:val="0"/>
      <w:divBdr>
        <w:top w:val="none" w:sz="0" w:space="0" w:color="auto"/>
        <w:left w:val="none" w:sz="0" w:space="0" w:color="auto"/>
        <w:bottom w:val="none" w:sz="0" w:space="0" w:color="auto"/>
        <w:right w:val="none" w:sz="0" w:space="0" w:color="auto"/>
      </w:divBdr>
    </w:div>
    <w:div w:id="147521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1506</Words>
  <Characters>8136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2</cp:revision>
  <dcterms:created xsi:type="dcterms:W3CDTF">2019-07-08T15:19:00Z</dcterms:created>
  <dcterms:modified xsi:type="dcterms:W3CDTF">2019-07-08T15:44:00Z</dcterms:modified>
</cp:coreProperties>
</file>