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279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23 DE ABRIL DE 2019.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Ana Laine Grahl, ocupante do cargo de </w:t>
      </w:r>
      <w:r>
        <w:rPr>
          <w:rFonts w:eastAsia="Times New Roman" w:cs="Arial" w:ascii="Arial" w:hAnsi="Arial"/>
          <w:sz w:val="24"/>
          <w:szCs w:val="24"/>
          <w:lang w:eastAsia="pt-BR"/>
        </w:rPr>
        <w:t>Agente Financeiro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039/2019</w:t>
      </w:r>
      <w:r>
        <w:rPr>
          <w:rFonts w:eastAsia="Times New Roman" w:cs="Arial" w:ascii="Arial" w:hAnsi="Arial"/>
          <w:sz w:val="23"/>
          <w:szCs w:val="23"/>
          <w:lang w:eastAsia="pt-BR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23 DE ABRIL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701906538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84672892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LibreOffice/6.1.1.2$Windows_X86_64 LibreOffice_project/5d19a1bfa650b796764388cd8b33a5af1f5baa1b</Application>
  <Pages>4</Pages>
  <Words>1025</Words>
  <Characters>5939</Characters>
  <CharactersWithSpaces>6962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2018-09-24T16:39:25Z</cp:lastPrinted>
  <dcterms:modified xsi:type="dcterms:W3CDTF">2019-04-24T13:59:43Z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