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171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06 DE MARÇO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2019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</w:t>
      </w:r>
      <w:r>
        <w:rPr>
          <w:rFonts w:eastAsia="Times New Roman" w:cs="Arial" w:ascii="Arial" w:hAnsi="Arial"/>
          <w:sz w:val="23"/>
          <w:szCs w:val="23"/>
          <w:lang w:eastAsia="pt-BR"/>
        </w:rPr>
        <w:t>Enaide Pereira de Costa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ocupante do cargo de </w:t>
      </w:r>
      <w:r>
        <w:rPr>
          <w:rFonts w:eastAsia="Times New Roman" w:cs="Arial" w:ascii="Arial" w:hAnsi="Arial"/>
          <w:sz w:val="23"/>
          <w:szCs w:val="23"/>
          <w:lang w:eastAsia="pt-BR"/>
        </w:rPr>
        <w:t>Diretora do Instituto de Previdência Social dos Servidores Públicos de Pinheiro Preto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para atuar como Fiscal do contrato Administrativo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020/2019.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>06 DE MARÇO DE</w:t>
      </w:r>
      <w:r>
        <w:rPr>
          <w:rFonts w:cs="Arial" w:ascii="Arial" w:hAnsi="Arial"/>
          <w:sz w:val="23"/>
          <w:szCs w:val="23"/>
        </w:rPr>
        <w:t xml:space="preserve"> 2019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350140800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1220950701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LibreOffice/6.1.1.2$Windows_X86_64 LibreOffice_project/5d19a1bfa650b796764388cd8b33a5af1f5baa1b</Application>
  <Pages>4</Pages>
  <Words>1042</Words>
  <Characters>6004</Characters>
  <CharactersWithSpaces>7061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2019-03-07T09:35:43Z</cp:lastPrinted>
  <dcterms:modified xsi:type="dcterms:W3CDTF">2019-03-07T09:36:00Z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