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AC" w:rsidRPr="009822F1" w:rsidRDefault="000D39AC" w:rsidP="000D39AC">
      <w:pPr>
        <w:jc w:val="center"/>
        <w:rPr>
          <w:rFonts w:ascii="Arial" w:hAnsi="Arial" w:cs="Arial"/>
          <w:sz w:val="22"/>
          <w:szCs w:val="22"/>
        </w:rPr>
      </w:pPr>
      <w:bookmarkStart w:id="0" w:name="_Hlk43463725"/>
    </w:p>
    <w:p w:rsidR="000D39AC" w:rsidRPr="009822F1" w:rsidRDefault="005A6A8D" w:rsidP="000D39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ATA DE REGISTRO DE PREÇOS Nº 040</w:t>
      </w:r>
      <w:r w:rsidR="000D39AC"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 w:rsidR="00BE7ED7"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Pr="009822F1">
        <w:rPr>
          <w:rFonts w:ascii="Arial" w:hAnsi="Arial" w:cs="Arial"/>
          <w:b/>
          <w:bCs/>
          <w:sz w:val="22"/>
          <w:szCs w:val="22"/>
        </w:rPr>
        <w:t>MUNICÍPIO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82.827.148/0001-69,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 w:rsidR="007779BE">
        <w:rPr>
          <w:rFonts w:ascii="Arial" w:hAnsi="Arial" w:cs="Arial"/>
          <w:b/>
          <w:bCs/>
          <w:sz w:val="22"/>
          <w:szCs w:val="22"/>
        </w:rPr>
        <w:t>JV COMÉRCIO DE MATERIAIS ELÉTRICOS E DECORAÇÕES LTDA ME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 w:rsidR="007779BE">
        <w:rPr>
          <w:rFonts w:ascii="Arial" w:hAnsi="Arial" w:cs="Arial"/>
          <w:sz w:val="22"/>
          <w:szCs w:val="22"/>
        </w:rPr>
        <w:t>inscrita no CNPJ sob o nº  01.276.119/54, com sede na Rua CORONEL FARRAPO, nº 1331</w:t>
      </w:r>
      <w:r w:rsidRPr="009822F1">
        <w:rPr>
          <w:rFonts w:ascii="Arial" w:hAnsi="Arial" w:cs="Arial"/>
          <w:sz w:val="22"/>
          <w:szCs w:val="22"/>
        </w:rPr>
        <w:t>,</w:t>
      </w:r>
      <w:r w:rsidR="007779BE">
        <w:rPr>
          <w:rFonts w:ascii="Arial" w:hAnsi="Arial" w:cs="Arial"/>
          <w:sz w:val="22"/>
          <w:szCs w:val="22"/>
        </w:rPr>
        <w:t xml:space="preserve"> SALA B2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 w:rsidR="007779BE">
        <w:rPr>
          <w:rFonts w:ascii="Arial" w:hAnsi="Arial" w:cs="Arial"/>
          <w:sz w:val="22"/>
          <w:szCs w:val="22"/>
        </w:rPr>
        <w:t>idade de CAMPOS NOVOS,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 w:rsidR="007779BE">
        <w:rPr>
          <w:rFonts w:ascii="Arial" w:hAnsi="Arial" w:cs="Arial"/>
          <w:sz w:val="22"/>
          <w:szCs w:val="22"/>
        </w:rPr>
        <w:t>sentada pelo Senhora ANNA JUÇARA KRUTZMANN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 w:rsidR="00BE7ED7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 w:rsidR="00BE7ED7"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0D39AC" w:rsidRPr="009822F1" w:rsidRDefault="000D39AC" w:rsidP="000D39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008"/>
        <w:gridCol w:w="3523"/>
        <w:gridCol w:w="1626"/>
        <w:gridCol w:w="1660"/>
      </w:tblGrid>
      <w:tr w:rsidR="00AB7B77" w:rsidRPr="009822F1" w:rsidTr="004765DE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B77" w:rsidRPr="009822F1" w:rsidRDefault="004765DE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AB7B77" w:rsidRPr="009822F1" w:rsidRDefault="00AB7B77" w:rsidP="001F32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</w:tr>
      <w:tr w:rsidR="00AB7B77" w:rsidRPr="009822F1" w:rsidTr="004765D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Tubo Soldável 6m de 60mm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F7349E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Multilit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D255E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351209">
              <w:rPr>
                <w:rFonts w:ascii="Arial" w:hAnsi="Arial" w:cs="Arial"/>
                <w:color w:val="000000"/>
                <w:sz w:val="22"/>
                <w:szCs w:val="22"/>
              </w:rPr>
              <w:t>91,00</w:t>
            </w:r>
          </w:p>
        </w:tc>
      </w:tr>
      <w:tr w:rsidR="00AB7B77" w:rsidRPr="009822F1" w:rsidTr="004765D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B77" w:rsidRPr="009822F1" w:rsidRDefault="00AB7B7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Tubo Soldável 6m de 32mm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B77" w:rsidRPr="009822F1" w:rsidRDefault="00996917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Plastilit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B77" w:rsidRPr="009822F1" w:rsidRDefault="003D255E" w:rsidP="001F32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351209">
              <w:rPr>
                <w:rFonts w:ascii="Arial" w:hAnsi="Arial" w:cs="Arial"/>
                <w:color w:val="000000"/>
                <w:sz w:val="22"/>
                <w:szCs w:val="22"/>
              </w:rPr>
              <w:t>27,90</w:t>
            </w:r>
          </w:p>
        </w:tc>
      </w:tr>
      <w:tr w:rsidR="00F113F2" w:rsidRPr="009822F1" w:rsidTr="004765DE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F2" w:rsidRPr="009822F1" w:rsidRDefault="005753E1" w:rsidP="00575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F113F2" w:rsidRPr="009822F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13F2" w:rsidRPr="009822F1" w:rsidRDefault="00F113F2" w:rsidP="00575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3F2" w:rsidRPr="009822F1" w:rsidRDefault="00F113F2" w:rsidP="00575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TE PVC D=100MM - FORNECIMENTO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996917" w:rsidP="00575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Plastilit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Default="003D255E" w:rsidP="005753E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9,40</w:t>
            </w:r>
          </w:p>
        </w:tc>
      </w:tr>
      <w:tr w:rsidR="00F113F2" w:rsidRPr="009822F1" w:rsidTr="004765DE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CAP PVC ESGOTO 100MM (TAMPÃO) - FORNECIMENTO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996917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Plastilit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Metros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quadrado de 3mm para roçadeira 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F7349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Ekilon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0,86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45° esgoto ocre 100mm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F7349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18,99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45° de esgoto ocre 150mm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F7349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70,90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Joelho 90° de esgoto ocre 150mm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F7349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70,95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TE esgoto ocre 150mm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F7349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Tigre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101,00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Unidade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Barra 6m de aço CA – 50   12,5mm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F7349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Gerdau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54,00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Barra 6m e aço CA – 50   10,0mm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Gerdau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34,70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Pá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ajuntadeira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bico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Nove 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32,90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Caixa de água 1,000L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296,00</w:t>
            </w:r>
          </w:p>
        </w:tc>
      </w:tr>
      <w:tr w:rsidR="00F113F2" w:rsidRPr="00351209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351209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512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Exaustor</w:t>
            </w:r>
            <w:proofErr w:type="spellEnd"/>
            <w:r w:rsidRPr="003512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2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ind</w:t>
            </w:r>
            <w:proofErr w:type="spellEnd"/>
            <w:r w:rsidRPr="003512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3512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coml</w:t>
            </w:r>
            <w:proofErr w:type="spellEnd"/>
            <w:r w:rsidRPr="0035120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30 cm 220v 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351209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Ventisol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351209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143,00</w:t>
            </w:r>
          </w:p>
        </w:tc>
      </w:tr>
      <w:tr w:rsidR="00F113F2" w:rsidRPr="009822F1" w:rsidTr="004765DE">
        <w:trPr>
          <w:trHeight w:val="2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auto"/>
                <w:sz w:val="22"/>
                <w:szCs w:val="22"/>
              </w:rPr>
              <w:t>Unidade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3F2" w:rsidRPr="009822F1" w:rsidRDefault="00F113F2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Lampada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tubular </w:t>
            </w:r>
            <w:proofErr w:type="spellStart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led</w:t>
            </w:r>
            <w:proofErr w:type="spellEnd"/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 18w 120 cm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Lumanti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13F2" w:rsidRPr="009822F1" w:rsidRDefault="003D255E" w:rsidP="00F113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F113F2">
              <w:rPr>
                <w:rFonts w:ascii="Arial" w:hAnsi="Arial" w:cs="Arial"/>
                <w:color w:val="000000"/>
                <w:sz w:val="22"/>
                <w:szCs w:val="22"/>
              </w:rPr>
              <w:t>59,80</w:t>
            </w: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lastRenderedPageBreak/>
        <w:t>CLÁUSULA 3ª - DO PAGAMENTO</w:t>
      </w:r>
    </w:p>
    <w:p w:rsidR="000D39AC" w:rsidRPr="009822F1" w:rsidRDefault="000D39AC" w:rsidP="000D39AC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da ata de registro de preços, todas as condições de habilitação e qualificação exigidas na licitação.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3.1.3 - O pagamento somente será autorizado depois de efetuado o “recebimento definitivo” pelo servidor competente na nota fiscal apresentada.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da ata de registro de preços, caso a FORNECEDORA não regularize sua situação.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3.3 -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Município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82.827.148/0001-69</w:t>
      </w:r>
      <w:r w:rsidRPr="009822F1">
        <w:rPr>
          <w:rFonts w:ascii="Arial" w:hAnsi="Arial" w:cs="Arial"/>
          <w:sz w:val="22"/>
          <w:szCs w:val="22"/>
        </w:rPr>
        <w:t>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3.3.1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4.1 – A FORNECEDORA ficará obrigada a entregar o material, objeto desta Ata de Registro de Preços, de acordo com as especificações exigidas, na forma, nos locais, prazos e preços estipulados na sua proposta e na Autorização de Fornecimento.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A Ata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2002 - SECRET. DE ADMINISTR. E FINANCAS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4 - Administração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122 -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3 - Administração Geral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2.22 - MANUTENÇÃO DA SECRETARIA DE ADMINSTRAÇÃO E FINANÇAS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98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2005 - SECRET. DE AGRICULTURA E MEIO AMBIENTE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20 -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606 - Extensão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20 - </w:t>
      </w:r>
      <w:proofErr w:type="spellStart"/>
      <w:r w:rsidRPr="009822F1">
        <w:rPr>
          <w:sz w:val="22"/>
          <w:szCs w:val="22"/>
        </w:rPr>
        <w:t>Assistencia</w:t>
      </w:r>
      <w:proofErr w:type="spellEnd"/>
      <w:r w:rsidRPr="009822F1">
        <w:rPr>
          <w:sz w:val="22"/>
          <w:szCs w:val="22"/>
        </w:rPr>
        <w:t xml:space="preserve"> Ao Produtor Rural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2.40 - MANUTENÇÃO DE ATIVIDADE DE APOIO A AGRICULTURA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144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  <w:szCs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lastRenderedPageBreak/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365 -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2.35 - MANUTENÇÃO DA EDUCAÇÃO INFANTIL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133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2003 - SECRET. DE EDUCACAO, CULTURA E ESPORTES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12 - Educação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361 -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12 - Desenvolvimento Educacional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2.32 - MANUTENÇÃO DAS ATIVIDADES DO ENSINO FUNDAMENTAL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119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Fonte de recurso: 136 - Salário Educação</w:t>
      </w:r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2006 - SECRET. DE TRANSPORTES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26 - Transporte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782 - Transporte Rodoviário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23 - Estradas Vicinais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2.42 - MANUTENÇÃO SECRETARIA DE TRANSPORTE E OBRAS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150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2 - Município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2000 - PODER EXECUTIVO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2012 -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15 - Urbanismo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452 - Serviços Urbanos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Programa: 29 -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2.69 - MANUTENÇÃO DA SECRETARIA DE DESENVOLVIMENTO URBANO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203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100 - Recursos </w:t>
      </w:r>
      <w:proofErr w:type="spellStart"/>
      <w:r w:rsidRPr="009822F1">
        <w:rPr>
          <w:sz w:val="22"/>
          <w:szCs w:val="22"/>
        </w:rPr>
        <w:t>Ordinarios</w:t>
      </w:r>
      <w:proofErr w:type="spellEnd"/>
    </w:p>
    <w:p w:rsidR="000D39AC" w:rsidRPr="009822F1" w:rsidRDefault="000D39AC" w:rsidP="000D39AC">
      <w:pPr>
        <w:rPr>
          <w:sz w:val="22"/>
        </w:rPr>
      </w:pP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9 - </w:t>
      </w:r>
      <w:proofErr w:type="spellStart"/>
      <w:r w:rsidRPr="009822F1">
        <w:rPr>
          <w:sz w:val="22"/>
          <w:szCs w:val="22"/>
        </w:rPr>
        <w:t>Saude</w:t>
      </w:r>
      <w:proofErr w:type="spellEnd"/>
      <w:r w:rsidRPr="009822F1">
        <w:rPr>
          <w:sz w:val="22"/>
          <w:szCs w:val="22"/>
        </w:rPr>
        <w:t xml:space="preserve"> Com Qualidade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0D39AC" w:rsidRPr="009822F1" w:rsidRDefault="000D39AC" w:rsidP="000D39AC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138 - </w:t>
      </w:r>
      <w:proofErr w:type="spellStart"/>
      <w:r w:rsidRPr="009822F1">
        <w:rPr>
          <w:sz w:val="22"/>
          <w:szCs w:val="22"/>
        </w:rPr>
        <w:t>Transferencia</w:t>
      </w:r>
      <w:proofErr w:type="spellEnd"/>
      <w:r w:rsidRPr="009822F1">
        <w:rPr>
          <w:sz w:val="22"/>
          <w:szCs w:val="22"/>
        </w:rPr>
        <w:t xml:space="preserve"> do SUS/União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A ata de Registro de Preços poderá sofrer alterações, obedecidas às disposições contidas no Art. 65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9.2 - O preço registrado poderá ser revisto em decorrência de eventual redução daqueles praticados no mercado, ou de fato que eleve o custo dos serviços ou bens </w:t>
      </w:r>
      <w:r w:rsidRPr="009822F1">
        <w:rPr>
          <w:rFonts w:ascii="Arial" w:hAnsi="Arial" w:cs="Arial"/>
          <w:sz w:val="22"/>
          <w:szCs w:val="22"/>
        </w:rPr>
        <w:lastRenderedPageBreak/>
        <w:t>registrados, cabendo ao órgão gerenciador da Ata promover as necessárias negociações junto aos fornecedores.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da Ata de Registro de Preços, adotando as medidas cabíveis para obtenção da contratação mais vantajosa.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10ª - DO CANCELAMENTO DA ATA DE REGISTRO DE PREÇOS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A Ata de Registro de Preços poderá ser cancelada quando a FORNECEDORA: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da Ata de Registro de Preços: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0D39AC" w:rsidRPr="009822F1" w:rsidRDefault="000D39AC" w:rsidP="000D39AC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DA ATA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desta Ata ficará sujeito às penalidades estabelecidas nas Leis nº 10.520/2002 e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a Ata de Registro de Preços dentro do prazo de 03 (três) dias a contar da convocação, caracteriza o descumprimento total da obrigação assumida, sujeitando a adjudicatária às penalidades legalmente estabelecidas.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0D39AC" w:rsidRPr="009822F1" w:rsidRDefault="000D39AC" w:rsidP="000D39A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0D39AC" w:rsidRPr="009822F1" w:rsidRDefault="000D39AC" w:rsidP="000D39A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0D39AC" w:rsidRPr="009822F1" w:rsidRDefault="000D39AC" w:rsidP="000D39AC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12.6 – Nos termos do art. 7º da Lei 10.520/2002, o fornecedor que ensejar o retardamento da execução do certame, não mantiver a proposta, falhar ou fraudar na execução da </w:t>
      </w:r>
      <w:r w:rsidRPr="009822F1">
        <w:rPr>
          <w:rFonts w:ascii="Arial" w:hAnsi="Arial" w:cs="Arial"/>
          <w:sz w:val="22"/>
          <w:szCs w:val="22"/>
        </w:rPr>
        <w:t xml:space="preserve">ata de registro </w:t>
      </w:r>
    </w:p>
    <w:p w:rsidR="000D39AC" w:rsidRPr="009822F1" w:rsidRDefault="000D39AC" w:rsidP="000D39AC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na ata de registro de preços e das demais cominações legais.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12.8 – As penalidades acima poderão ser aplicadas isolada ou cumulativamente, nos termos do artigo 87 da Lei nº 8.666/93 e suas alterações.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0D39AC" w:rsidRPr="009822F1" w:rsidRDefault="000D39AC" w:rsidP="000D39A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13.3 – Nos casos de rescisão, previstos nos incisos I a XI e XVIII do artigo 78 da Lei nº 8.666/93, sujeita-se a empresa contratada ao pagamento de multa de 10% (dez por cento) sobre o valor total da </w:t>
      </w:r>
      <w:r w:rsidRPr="009822F1">
        <w:rPr>
          <w:rFonts w:ascii="Arial" w:hAnsi="Arial" w:cs="Arial"/>
          <w:sz w:val="22"/>
          <w:szCs w:val="22"/>
        </w:rPr>
        <w:t>ata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B835EC">
        <w:rPr>
          <w:rFonts w:ascii="Arial" w:hAnsi="Arial" w:cs="Arial"/>
          <w:sz w:val="22"/>
          <w:szCs w:val="22"/>
        </w:rPr>
        <w:t xml:space="preserve">José Aldair dos santos, </w:t>
      </w:r>
      <w:proofErr w:type="spellStart"/>
      <w:r w:rsidR="00B835EC">
        <w:rPr>
          <w:rFonts w:ascii="Arial" w:hAnsi="Arial" w:cs="Arial"/>
          <w:sz w:val="22"/>
          <w:szCs w:val="22"/>
        </w:rPr>
        <w:t>Veronice</w:t>
      </w:r>
      <w:proofErr w:type="spellEnd"/>
      <w:r w:rsidR="00B835EC">
        <w:rPr>
          <w:rFonts w:ascii="Arial" w:hAnsi="Arial" w:cs="Arial"/>
          <w:sz w:val="22"/>
          <w:szCs w:val="22"/>
        </w:rPr>
        <w:t xml:space="preserve"> Fritzen, Vanuza Perin, Carlos Marcelo  </w:t>
      </w:r>
      <w:proofErr w:type="spellStart"/>
      <w:r w:rsidR="00B835EC">
        <w:rPr>
          <w:rFonts w:ascii="Arial" w:hAnsi="Arial" w:cs="Arial"/>
          <w:sz w:val="22"/>
          <w:szCs w:val="22"/>
        </w:rPr>
        <w:t>Baroni</w:t>
      </w:r>
      <w:proofErr w:type="spellEnd"/>
      <w:r w:rsidR="00B835E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B835EC">
        <w:rPr>
          <w:rFonts w:ascii="Arial" w:hAnsi="Arial" w:cs="Arial"/>
          <w:sz w:val="22"/>
          <w:szCs w:val="22"/>
        </w:rPr>
        <w:t>Dejair</w:t>
      </w:r>
      <w:proofErr w:type="spellEnd"/>
      <w:r w:rsidR="00B835EC">
        <w:rPr>
          <w:rFonts w:ascii="Arial" w:hAnsi="Arial" w:cs="Arial"/>
          <w:sz w:val="22"/>
          <w:szCs w:val="22"/>
        </w:rPr>
        <w:t xml:space="preserve"> Rodrigues</w:t>
      </w:r>
      <w:r w:rsidR="00B835EC" w:rsidRPr="009822F1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Pr="009822F1">
        <w:rPr>
          <w:rFonts w:ascii="Arial" w:hAnsi="Arial" w:cs="Arial"/>
          <w:sz w:val="22"/>
          <w:szCs w:val="22"/>
        </w:rPr>
        <w:t xml:space="preserve">bem como a comissão de </w:t>
      </w:r>
      <w:r w:rsidRPr="009822F1">
        <w:rPr>
          <w:rFonts w:ascii="Arial" w:hAnsi="Arial" w:cs="Arial"/>
          <w:sz w:val="22"/>
          <w:szCs w:val="22"/>
        </w:rPr>
        <w:lastRenderedPageBreak/>
        <w:t>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17.2 - Observados os critérios e condições estabelecidas nesta Ata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2020.</w:t>
      </w: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DE301E" w:rsidP="000D39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Pinheiro Preto 16 </w:t>
      </w:r>
      <w:proofErr w:type="gramStart"/>
      <w:r>
        <w:rPr>
          <w:rFonts w:ascii="Arial" w:hAnsi="Arial" w:cs="Arial"/>
          <w:sz w:val="22"/>
          <w:szCs w:val="22"/>
        </w:rPr>
        <w:t>de  julho</w:t>
      </w:r>
      <w:proofErr w:type="gramEnd"/>
      <w:r w:rsidR="000D39AC" w:rsidRPr="009822F1">
        <w:rPr>
          <w:rFonts w:ascii="Arial" w:hAnsi="Arial" w:cs="Arial"/>
          <w:sz w:val="22"/>
          <w:szCs w:val="22"/>
        </w:rPr>
        <w:t xml:space="preserve"> de 2020.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0D39AC" w:rsidRPr="00855DA6" w:rsidRDefault="00855DA6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855DA6">
              <w:rPr>
                <w:rFonts w:ascii="Arial" w:hAnsi="Arial" w:cs="Arial"/>
                <w:bCs/>
                <w:sz w:val="22"/>
                <w:szCs w:val="22"/>
              </w:rPr>
              <w:t>JV COM DE MAT EL E DECOR LTDA ME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0D39AC" w:rsidRPr="009822F1" w:rsidTr="001F32BB">
        <w:tc>
          <w:tcPr>
            <w:tcW w:w="4144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0D39AC" w:rsidRPr="009822F1" w:rsidRDefault="000D39AC" w:rsidP="001F32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855DA6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855DA6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0D39AC" w:rsidRPr="009822F1" w:rsidRDefault="000D39AC" w:rsidP="000D39AC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bookmarkEnd w:id="0"/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p w:rsidR="000D39AC" w:rsidRPr="009822F1" w:rsidRDefault="000D39AC" w:rsidP="000D39AC">
      <w:pPr>
        <w:rPr>
          <w:rFonts w:ascii="Arial" w:hAnsi="Arial" w:cs="Arial"/>
          <w:sz w:val="22"/>
          <w:szCs w:val="22"/>
        </w:rPr>
      </w:pPr>
    </w:p>
    <w:sectPr w:rsidR="000D39AC" w:rsidRPr="009822F1" w:rsidSect="008D2FF4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39" w:rsidRDefault="00C10B39" w:rsidP="009F4A54">
      <w:r>
        <w:separator/>
      </w:r>
    </w:p>
  </w:endnote>
  <w:endnote w:type="continuationSeparator" w:id="0">
    <w:p w:rsidR="00C10B39" w:rsidRDefault="00C10B39" w:rsidP="009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4E3A0F" wp14:editId="58162D76">
          <wp:simplePos x="0" y="0"/>
          <wp:positionH relativeFrom="margin">
            <wp:posOffset>-1073888</wp:posOffset>
          </wp:positionH>
          <wp:positionV relativeFrom="paragraph">
            <wp:posOffset>-223283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39" w:rsidRDefault="00C10B39" w:rsidP="009F4A54">
      <w:r>
        <w:separator/>
      </w:r>
    </w:p>
  </w:footnote>
  <w:footnote w:type="continuationSeparator" w:id="0">
    <w:p w:rsidR="00C10B39" w:rsidRDefault="00C10B39" w:rsidP="009F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A54" w:rsidRDefault="009F4A5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E751EE" wp14:editId="1E3EF2E1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A54" w:rsidRDefault="009F4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AC"/>
    <w:rsid w:val="00097B53"/>
    <w:rsid w:val="000D39AC"/>
    <w:rsid w:val="00247A0F"/>
    <w:rsid w:val="002744AD"/>
    <w:rsid w:val="002A2DFF"/>
    <w:rsid w:val="00330E35"/>
    <w:rsid w:val="00351209"/>
    <w:rsid w:val="003B7CE1"/>
    <w:rsid w:val="003D255E"/>
    <w:rsid w:val="004765DE"/>
    <w:rsid w:val="005753E1"/>
    <w:rsid w:val="00575591"/>
    <w:rsid w:val="005A6A8D"/>
    <w:rsid w:val="007779BE"/>
    <w:rsid w:val="007E4470"/>
    <w:rsid w:val="00855DA6"/>
    <w:rsid w:val="008D2FF4"/>
    <w:rsid w:val="00977FC3"/>
    <w:rsid w:val="00996917"/>
    <w:rsid w:val="009F4A54"/>
    <w:rsid w:val="00AB7B77"/>
    <w:rsid w:val="00AE0B29"/>
    <w:rsid w:val="00B835EC"/>
    <w:rsid w:val="00BE7ED7"/>
    <w:rsid w:val="00C10B39"/>
    <w:rsid w:val="00DE301E"/>
    <w:rsid w:val="00E56104"/>
    <w:rsid w:val="00F113F2"/>
    <w:rsid w:val="00F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BC01-3ACD-4ACC-8195-F161119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A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0D39AC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A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A54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3473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14</cp:revision>
  <dcterms:created xsi:type="dcterms:W3CDTF">2020-07-16T12:16:00Z</dcterms:created>
  <dcterms:modified xsi:type="dcterms:W3CDTF">2020-07-21T17:12:00Z</dcterms:modified>
</cp:coreProperties>
</file>