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001172">
        <w:rPr>
          <w:rFonts w:ascii="Arial" w:hAnsi="Arial" w:cs="Arial"/>
          <w:b/>
          <w:bCs/>
          <w:sz w:val="22"/>
          <w:szCs w:val="22"/>
        </w:rPr>
        <w:t>ATO DE REGISTRO DE PREÇOS Nº 14</w:t>
      </w:r>
      <w:r w:rsidR="00101011">
        <w:rPr>
          <w:rFonts w:ascii="Arial" w:hAnsi="Arial" w:cs="Arial"/>
          <w:b/>
          <w:bCs/>
          <w:sz w:val="22"/>
          <w:szCs w:val="22"/>
        </w:rPr>
        <w:t>8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4B64E2" w:rsidRPr="009822F1" w:rsidRDefault="004B64E2" w:rsidP="004B64E2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>
        <w:rPr>
          <w:rFonts w:ascii="Arial" w:hAnsi="Arial" w:cs="Arial"/>
          <w:b/>
          <w:bCs/>
          <w:sz w:val="22"/>
          <w:szCs w:val="22"/>
        </w:rPr>
        <w:t>JV COMÉRCIO DE MATERIAIS ELÉTRICOS E DECORAÇÕES LTDA ME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>
        <w:rPr>
          <w:rFonts w:ascii="Arial" w:hAnsi="Arial" w:cs="Arial"/>
          <w:sz w:val="22"/>
          <w:szCs w:val="22"/>
        </w:rPr>
        <w:t>inscrita no CNPJ sob o nº  01.276.119/54, com sede na Rua CORONEL FARRAPO, nº 1331</w:t>
      </w:r>
      <w:r w:rsidRPr="009822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SALA B2</w:t>
      </w:r>
      <w:r w:rsidRPr="009822F1">
        <w:rPr>
          <w:rFonts w:ascii="Arial" w:hAnsi="Arial" w:cs="Arial"/>
          <w:sz w:val="22"/>
          <w:szCs w:val="22"/>
        </w:rPr>
        <w:t xml:space="preserve"> na c</w:t>
      </w:r>
      <w:r>
        <w:rPr>
          <w:rFonts w:ascii="Arial" w:hAnsi="Arial" w:cs="Arial"/>
          <w:sz w:val="22"/>
          <w:szCs w:val="22"/>
        </w:rPr>
        <w:t>idade de CAMPOS NOVOS,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>
        <w:rPr>
          <w:rFonts w:ascii="Arial" w:hAnsi="Arial" w:cs="Arial"/>
          <w:sz w:val="22"/>
          <w:szCs w:val="22"/>
        </w:rPr>
        <w:t>sentada pelo Senhora ANNA JUÇARA KRUTZMANN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119"/>
        <w:gridCol w:w="1008"/>
        <w:gridCol w:w="3287"/>
        <w:gridCol w:w="1275"/>
        <w:gridCol w:w="993"/>
        <w:gridCol w:w="1417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Tubo Soldável 6m de 60mm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Multilit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4B64E2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  <w:r w:rsidR="00886BD4">
              <w:rPr>
                <w:rFonts w:ascii="Arial" w:hAnsi="Arial" w:cs="Arial"/>
                <w:color w:val="000000"/>
                <w:sz w:val="22"/>
                <w:szCs w:val="22"/>
              </w:rPr>
              <w:t xml:space="preserve"> 910,00</w:t>
            </w:r>
          </w:p>
        </w:tc>
      </w:tr>
      <w:tr w:rsidR="003E4C71" w:rsidRPr="009822F1" w:rsidTr="003E4C7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Tubo Soldável 6m de 32mm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Plastit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R$ 279,00</w:t>
            </w:r>
          </w:p>
        </w:tc>
      </w:tr>
      <w:tr w:rsidR="003E4C71" w:rsidRPr="009822F1" w:rsidTr="003E4C71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TE PVC D=100MM - FORNECIMENTO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Plastit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R$ 9,40</w:t>
            </w:r>
          </w:p>
          <w:p w:rsidR="00886BD4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R$ 470,00</w:t>
            </w:r>
          </w:p>
        </w:tc>
      </w:tr>
      <w:tr w:rsidR="003E4C71" w:rsidRPr="009822F1" w:rsidTr="003E4C71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10101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E4C71" w:rsidRPr="009822F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CAP PVC ESGOTO 100MM (TAMPÃO) - FORNECIMENTO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Ekilon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01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101011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Metros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quadrado de 3mm para roçadeira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R$ 344,00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45° esgoto ocre 100mm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R$ 949,50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45° de esgoto ocre 150mm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</w:t>
            </w:r>
            <w:r w:rsidR="0074768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545,00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90° de esgoto ocre 150mm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R$ 70,95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</w:t>
            </w:r>
            <w:r w:rsidR="0074768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547,50</w:t>
            </w:r>
          </w:p>
          <w:p w:rsidR="00886BD4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TE esgoto ocre 150mm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4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</w:t>
            </w:r>
            <w:r w:rsidR="0074768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050,00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Barra 6m de aço CA – 50   12,5mm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Gerdau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R$ 540,00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Barra 6m e aço CA – 50   10,0mm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Gerdau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R$ 694,00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Pá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ajuntadeira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bico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Nove 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R$ 329,00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Caixa de água 1,000L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</w:t>
            </w:r>
            <w:r w:rsidR="0074768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184,00</w:t>
            </w:r>
          </w:p>
        </w:tc>
      </w:tr>
      <w:tr w:rsidR="003E4C71" w:rsidRPr="004B64E2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4B64E2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B64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Exaustor</w:t>
            </w:r>
            <w:proofErr w:type="spellEnd"/>
            <w:r w:rsidRPr="004B64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4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ind</w:t>
            </w:r>
            <w:proofErr w:type="spellEnd"/>
            <w:r w:rsidRPr="004B64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B64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coml</w:t>
            </w:r>
            <w:proofErr w:type="spellEnd"/>
            <w:r w:rsidRPr="004B64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30 cm 220v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4B64E2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Ventisol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4B64E2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R$ 143,00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4B64E2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R$ 286,00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747683" w:rsidP="001F44B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3E4C71" w:rsidRPr="009822F1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Lampada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tubular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18w 120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Lumanti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BD4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747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747683">
              <w:rPr>
                <w:rFonts w:ascii="Arial" w:hAnsi="Arial" w:cs="Arial"/>
                <w:color w:val="000000"/>
                <w:sz w:val="22"/>
                <w:szCs w:val="22"/>
              </w:rPr>
              <w:t>598,00</w:t>
            </w:r>
          </w:p>
        </w:tc>
      </w:tr>
    </w:tbl>
    <w:p w:rsidR="00DA6B4E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886BD4" w:rsidRDefault="004B64E2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estimado:</w:t>
      </w:r>
      <w:r w:rsidR="008A06BF">
        <w:rPr>
          <w:rFonts w:ascii="Arial" w:hAnsi="Arial" w:cs="Arial"/>
          <w:sz w:val="22"/>
          <w:szCs w:val="22"/>
        </w:rPr>
        <w:t xml:space="preserve"> R$ </w:t>
      </w:r>
      <w:r w:rsidR="00747683">
        <w:rPr>
          <w:rFonts w:ascii="Arial" w:hAnsi="Arial" w:cs="Arial"/>
          <w:sz w:val="22"/>
          <w:szCs w:val="22"/>
        </w:rPr>
        <w:t>18.926,00 (dezoito mil novecentos e vinte e seis reais)</w:t>
      </w:r>
    </w:p>
    <w:p w:rsidR="004B64E2" w:rsidRPr="009822F1" w:rsidRDefault="004B64E2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12.7 - As penalidades serão obrigatoriamente registradas no sistema de registro de cadastro do Município e, no caso de suspensão de licitar, o licitante deverá ser </w:t>
      </w:r>
      <w:r w:rsidRPr="009822F1">
        <w:rPr>
          <w:rFonts w:ascii="Arial" w:hAnsi="Arial" w:cs="Arial"/>
          <w:sz w:val="22"/>
          <w:szCs w:val="22"/>
        </w:rPr>
        <w:lastRenderedPageBreak/>
        <w:t>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13.3 – Nos casos de rescisão, previstos nos incisos I a XI e XVIII do artigo 78 da Lei nº 8.666/93, sujeita-se a empresa contratada ao pagamento de multa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83666B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83666B">
        <w:rPr>
          <w:rFonts w:ascii="Arial" w:hAnsi="Arial" w:cs="Arial"/>
          <w:sz w:val="22"/>
          <w:szCs w:val="22"/>
        </w:rPr>
        <w:t>Veronice</w:t>
      </w:r>
      <w:proofErr w:type="spellEnd"/>
      <w:r w:rsidR="0083666B">
        <w:rPr>
          <w:rFonts w:ascii="Arial" w:hAnsi="Arial" w:cs="Arial"/>
          <w:sz w:val="22"/>
          <w:szCs w:val="22"/>
        </w:rPr>
        <w:t xml:space="preserve"> Fritzen, Vanuza Perin, e </w:t>
      </w:r>
      <w:proofErr w:type="spellStart"/>
      <w:r w:rsidR="0083666B">
        <w:rPr>
          <w:rFonts w:ascii="Arial" w:hAnsi="Arial" w:cs="Arial"/>
          <w:sz w:val="22"/>
          <w:szCs w:val="22"/>
        </w:rPr>
        <w:t>Dejair</w:t>
      </w:r>
      <w:proofErr w:type="spellEnd"/>
      <w:r w:rsidR="0083666B">
        <w:rPr>
          <w:rFonts w:ascii="Arial" w:hAnsi="Arial" w:cs="Arial"/>
          <w:sz w:val="22"/>
          <w:szCs w:val="22"/>
        </w:rPr>
        <w:t xml:space="preserve"> Rodrigues</w:t>
      </w:r>
      <w:r w:rsidR="0083666B" w:rsidRPr="009822F1">
        <w:rPr>
          <w:rFonts w:ascii="Arial" w:hAnsi="Arial" w:cs="Arial"/>
          <w:sz w:val="22"/>
          <w:szCs w:val="22"/>
        </w:rPr>
        <w:t xml:space="preserve"> </w:t>
      </w:r>
      <w:r w:rsidR="0083666B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17.2 - Observados os critérios e condições estabelecidas </w:t>
      </w:r>
      <w:proofErr w:type="spellStart"/>
      <w:r w:rsidRPr="009822F1">
        <w:rPr>
          <w:rFonts w:ascii="Arial" w:hAnsi="Arial" w:cs="Arial"/>
          <w:sz w:val="22"/>
          <w:szCs w:val="22"/>
        </w:rPr>
        <w:t>nesto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0C1D18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Pinheiro Preto 16</w:t>
      </w:r>
      <w:r w:rsidR="00DA6B4E" w:rsidRPr="009822F1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julho</w:t>
      </w:r>
      <w:r w:rsidR="00DA6B4E" w:rsidRPr="009822F1">
        <w:rPr>
          <w:rFonts w:ascii="Arial" w:hAnsi="Arial" w:cs="Arial"/>
          <w:sz w:val="22"/>
          <w:szCs w:val="22"/>
        </w:rPr>
        <w:t xml:space="preserve"> de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0C1D18" w:rsidP="001F4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JV COM DE MAT ELÉT E DECOR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LTDA ME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62603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5575AA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p w:rsidR="004E6EFA" w:rsidRPr="00DA6B4E" w:rsidRDefault="004E6EFA" w:rsidP="00DA6B4E"/>
    <w:sectPr w:rsidR="004E6EFA" w:rsidRPr="00DA6B4E" w:rsidSect="00B3328B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2C" w:rsidRDefault="00E8382C" w:rsidP="0062603E">
      <w:r>
        <w:separator/>
      </w:r>
    </w:p>
  </w:endnote>
  <w:endnote w:type="continuationSeparator" w:id="0">
    <w:p w:rsidR="00E8382C" w:rsidRDefault="00E8382C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2C" w:rsidRDefault="00E8382C" w:rsidP="0062603E">
      <w:r>
        <w:separator/>
      </w:r>
    </w:p>
  </w:footnote>
  <w:footnote w:type="continuationSeparator" w:id="0">
    <w:p w:rsidR="00E8382C" w:rsidRDefault="00E8382C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001172"/>
    <w:rsid w:val="000C1D18"/>
    <w:rsid w:val="00101011"/>
    <w:rsid w:val="002566F7"/>
    <w:rsid w:val="003E4C71"/>
    <w:rsid w:val="004B64E2"/>
    <w:rsid w:val="004D551B"/>
    <w:rsid w:val="004E6EFA"/>
    <w:rsid w:val="00623DFA"/>
    <w:rsid w:val="0062603E"/>
    <w:rsid w:val="00654F3F"/>
    <w:rsid w:val="00747683"/>
    <w:rsid w:val="0083666B"/>
    <w:rsid w:val="008858C0"/>
    <w:rsid w:val="00886BD4"/>
    <w:rsid w:val="008A06BF"/>
    <w:rsid w:val="00B3328B"/>
    <w:rsid w:val="00DA6B4E"/>
    <w:rsid w:val="00E369B4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3447</Words>
  <Characters>18618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12</cp:revision>
  <dcterms:created xsi:type="dcterms:W3CDTF">2020-07-16T15:11:00Z</dcterms:created>
  <dcterms:modified xsi:type="dcterms:W3CDTF">2020-07-21T17:01:00Z</dcterms:modified>
</cp:coreProperties>
</file>